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8511" w14:textId="77777777" w:rsidR="003C493C" w:rsidRDefault="003C493C" w:rsidP="00317236">
      <w:pPr>
        <w:spacing w:after="0" w:line="240" w:lineRule="auto"/>
        <w:ind w:left="-317"/>
        <w:rPr>
          <w:rFonts w:ascii="Arial" w:eastAsia="Times New Roman" w:hAnsi="Arial" w:cs="Times New Roman"/>
          <w:sz w:val="16"/>
          <w:szCs w:val="16"/>
        </w:rPr>
      </w:pPr>
      <w:bookmarkStart w:id="0" w:name="_GoBack"/>
      <w:bookmarkEnd w:id="0"/>
      <w:r>
        <w:rPr>
          <w:rFonts w:ascii="Arial" w:eastAsia="Times New Roman" w:hAnsi="Arial" w:cs="Times New Roman"/>
          <w:sz w:val="16"/>
          <w:szCs w:val="16"/>
        </w:rPr>
        <w:t xml:space="preserve">Keywords:  </w:t>
      </w:r>
      <w:r w:rsidR="001E7016">
        <w:rPr>
          <w:rFonts w:ascii="Arial" w:eastAsia="Times New Roman" w:hAnsi="Arial" w:cs="Times New Roman"/>
          <w:sz w:val="16"/>
          <w:szCs w:val="16"/>
        </w:rPr>
        <w:t>controlled substance, opioids, pain</w:t>
      </w:r>
    </w:p>
    <w:p w14:paraId="5DDEA52E" w14:textId="77777777" w:rsidR="003C493C" w:rsidRDefault="003C493C" w:rsidP="003C4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10008" w:type="dxa"/>
        <w:jc w:val="center"/>
        <w:tblInd w:w="0" w:type="dxa"/>
        <w:tblLook w:val="04A0" w:firstRow="1" w:lastRow="0" w:firstColumn="1" w:lastColumn="0" w:noHBand="0" w:noVBand="1"/>
      </w:tblPr>
      <w:tblGrid>
        <w:gridCol w:w="8658"/>
        <w:gridCol w:w="1350"/>
      </w:tblGrid>
      <w:tr w:rsidR="003C493C" w14:paraId="21DB5E6C" w14:textId="77777777" w:rsidTr="00317236">
        <w:trPr>
          <w:jc w:val="center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73C4E8" w14:textId="77777777" w:rsidR="003C493C" w:rsidRDefault="003C493C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Table of Contents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55C10A" w14:textId="77777777" w:rsidR="003C493C" w:rsidRDefault="003C493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Page Number</w:t>
            </w:r>
          </w:p>
        </w:tc>
      </w:tr>
      <w:tr w:rsidR="003C493C" w14:paraId="230F82E1" w14:textId="77777777" w:rsidTr="00317236">
        <w:trPr>
          <w:jc w:val="center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1B24" w14:textId="77777777" w:rsidR="003C493C" w:rsidRDefault="003C493C" w:rsidP="00CA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PURPOSE/SCOPE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FF9" w14:textId="77777777" w:rsidR="003C493C" w:rsidRDefault="00BE5F0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</w:tr>
      <w:tr w:rsidR="003C493C" w14:paraId="5CA2625F" w14:textId="77777777" w:rsidTr="00317236">
        <w:trPr>
          <w:trHeight w:val="179"/>
          <w:jc w:val="center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A91D" w14:textId="77777777" w:rsidR="003C493C" w:rsidRDefault="003C493C" w:rsidP="00CA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POLICY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9ED" w14:textId="77777777" w:rsidR="003C493C" w:rsidRDefault="00BE5F0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1-3</w:t>
            </w:r>
          </w:p>
        </w:tc>
      </w:tr>
      <w:tr w:rsidR="003C493C" w14:paraId="395CE40F" w14:textId="77777777" w:rsidTr="00317236">
        <w:trPr>
          <w:jc w:val="center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B837" w14:textId="77777777" w:rsidR="003C493C" w:rsidRDefault="003C493C" w:rsidP="00CA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SUPPORTIVE INFORMATION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0CA" w14:textId="77777777" w:rsidR="003C493C" w:rsidRDefault="00BE5F0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</w:tr>
    </w:tbl>
    <w:p w14:paraId="3BA5E2A6" w14:textId="77777777" w:rsidR="003C493C" w:rsidRDefault="003C493C" w:rsidP="003C4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5F4D3EB" w14:textId="77777777" w:rsidR="00521CFB" w:rsidRDefault="00521CFB" w:rsidP="00521CFB">
      <w:pPr>
        <w:pStyle w:val="ListParagraph"/>
        <w:numPr>
          <w:ilvl w:val="0"/>
          <w:numId w:val="7"/>
        </w:numPr>
        <w:tabs>
          <w:tab w:val="left" w:pos="540"/>
        </w:tabs>
        <w:spacing w:after="24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b/>
          <w:szCs w:val="24"/>
          <w:u w:val="single"/>
        </w:rPr>
        <w:t>P</w:t>
      </w:r>
      <w:r w:rsidR="00223C14">
        <w:rPr>
          <w:rFonts w:ascii="Arial" w:hAnsi="Arial" w:cs="Times New Roman"/>
          <w:b/>
          <w:szCs w:val="24"/>
          <w:u w:val="single"/>
        </w:rPr>
        <w:t>OLICY</w:t>
      </w:r>
    </w:p>
    <w:p w14:paraId="7C72C17F" w14:textId="128CD798" w:rsidR="00223C14" w:rsidRDefault="0014352B" w:rsidP="00223C14">
      <w:pPr>
        <w:pStyle w:val="ListParagraph"/>
        <w:numPr>
          <w:ilvl w:val="7"/>
          <w:numId w:val="7"/>
        </w:numPr>
        <w:tabs>
          <w:tab w:val="left" w:pos="540"/>
        </w:tabs>
        <w:spacing w:after="24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Clinic</w:t>
      </w:r>
      <w:r w:rsidR="00EE18E6">
        <w:rPr>
          <w:rFonts w:ascii="Arial" w:hAnsi="Arial" w:cs="Times New Roman"/>
          <w:szCs w:val="24"/>
        </w:rPr>
        <w:t xml:space="preserve"> Health Centers </w:t>
      </w:r>
      <w:r w:rsidR="00C4125C">
        <w:rPr>
          <w:rFonts w:ascii="Arial" w:hAnsi="Arial" w:cs="Times New Roman"/>
          <w:szCs w:val="24"/>
        </w:rPr>
        <w:t>On</w:t>
      </w:r>
      <w:r w:rsidR="00223C14">
        <w:rPr>
          <w:rFonts w:ascii="Arial" w:hAnsi="Arial" w:cs="Times New Roman"/>
          <w:szCs w:val="24"/>
        </w:rPr>
        <w:t>going Opioid Prescriptions for Patients with Chronic Non-Cancer/Non-Terminal Pain Policy.</w:t>
      </w:r>
    </w:p>
    <w:p w14:paraId="59763140" w14:textId="77777777" w:rsidR="00BE5F06" w:rsidRDefault="00223C14" w:rsidP="00BE5F06">
      <w:pPr>
        <w:pStyle w:val="ListParagraph"/>
        <w:numPr>
          <w:ilvl w:val="0"/>
          <w:numId w:val="7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b/>
          <w:szCs w:val="24"/>
          <w:u w:val="single"/>
        </w:rPr>
        <w:t>PROCEDURE</w:t>
      </w:r>
    </w:p>
    <w:p w14:paraId="264C57DE" w14:textId="1AA0BF87" w:rsidR="00223C14" w:rsidRDefault="00223C14" w:rsidP="00DE7677">
      <w:pPr>
        <w:pStyle w:val="ListParagraph"/>
        <w:numPr>
          <w:ilvl w:val="7"/>
          <w:numId w:val="7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 xml:space="preserve">These </w:t>
      </w:r>
      <w:r w:rsidRPr="00223C14">
        <w:rPr>
          <w:rFonts w:ascii="Arial" w:hAnsi="Arial" w:cs="Times New Roman"/>
          <w:szCs w:val="24"/>
        </w:rPr>
        <w:t xml:space="preserve">are the guidelines for how providers at </w:t>
      </w:r>
      <w:r w:rsidR="0014352B">
        <w:rPr>
          <w:rFonts w:ascii="Arial" w:hAnsi="Arial" w:cs="Times New Roman"/>
          <w:szCs w:val="24"/>
        </w:rPr>
        <w:t>Clinic</w:t>
      </w:r>
      <w:r w:rsidR="00EE18E6">
        <w:rPr>
          <w:rFonts w:ascii="Arial" w:hAnsi="Arial" w:cs="Times New Roman"/>
          <w:szCs w:val="24"/>
        </w:rPr>
        <w:t xml:space="preserve"> Health Centers </w:t>
      </w:r>
      <w:r w:rsidRPr="00223C14">
        <w:rPr>
          <w:rFonts w:ascii="Arial" w:hAnsi="Arial" w:cs="Times New Roman"/>
          <w:szCs w:val="24"/>
        </w:rPr>
        <w:t xml:space="preserve">will manage and document patients on opioids for chronic non-cancer/non-terminal </w:t>
      </w:r>
      <w:r w:rsidR="00EE18E6">
        <w:rPr>
          <w:rFonts w:ascii="Arial" w:hAnsi="Arial" w:cs="Times New Roman"/>
          <w:szCs w:val="24"/>
        </w:rPr>
        <w:t xml:space="preserve">pain. </w:t>
      </w:r>
      <w:r w:rsidRPr="00223C14">
        <w:rPr>
          <w:rFonts w:ascii="Arial" w:hAnsi="Arial" w:cs="Times New Roman"/>
          <w:szCs w:val="24"/>
        </w:rPr>
        <w:t xml:space="preserve">The following guidelines apply to any </w:t>
      </w:r>
      <w:r w:rsidRPr="00C55A73">
        <w:rPr>
          <w:rFonts w:ascii="Arial" w:hAnsi="Arial" w:cs="Times New Roman"/>
          <w:b/>
          <w:szCs w:val="24"/>
        </w:rPr>
        <w:t>new</w:t>
      </w:r>
      <w:r w:rsidRPr="00223C14">
        <w:rPr>
          <w:rFonts w:ascii="Arial" w:hAnsi="Arial" w:cs="Times New Roman"/>
          <w:szCs w:val="24"/>
        </w:rPr>
        <w:t xml:space="preserve"> </w:t>
      </w:r>
      <w:r w:rsidR="00EE18E6" w:rsidRPr="00223C14">
        <w:rPr>
          <w:rFonts w:ascii="Arial" w:hAnsi="Arial" w:cs="Times New Roman"/>
          <w:szCs w:val="24"/>
        </w:rPr>
        <w:t xml:space="preserve">chronic non-cancer/non-terminal </w:t>
      </w:r>
      <w:r w:rsidR="00EE18E6">
        <w:rPr>
          <w:rFonts w:ascii="Arial" w:hAnsi="Arial" w:cs="Times New Roman"/>
          <w:szCs w:val="24"/>
        </w:rPr>
        <w:t>pain</w:t>
      </w:r>
      <w:r w:rsidRPr="00223C14">
        <w:rPr>
          <w:rFonts w:ascii="Arial" w:hAnsi="Arial" w:cs="Times New Roman"/>
          <w:szCs w:val="24"/>
        </w:rPr>
        <w:t xml:space="preserve"> patients who will have ongoing </w:t>
      </w:r>
      <w:r w:rsidR="001E7016">
        <w:rPr>
          <w:rFonts w:ascii="Arial" w:hAnsi="Arial" w:cs="Times New Roman"/>
          <w:szCs w:val="24"/>
        </w:rPr>
        <w:t>opioid</w:t>
      </w:r>
      <w:r w:rsidRPr="00223C14">
        <w:rPr>
          <w:rFonts w:ascii="Arial" w:hAnsi="Arial" w:cs="Times New Roman"/>
          <w:szCs w:val="24"/>
        </w:rPr>
        <w:t xml:space="preserve"> prescriptions. For established patients, demonstrated reasonable efforts are expected from the provider to bring the patient into compliance in subsequent visits. It is the expectation that a treatment plan overview of any </w:t>
      </w:r>
      <w:r w:rsidR="00EE18E6" w:rsidRPr="00223C14">
        <w:rPr>
          <w:rFonts w:ascii="Arial" w:hAnsi="Arial" w:cs="Times New Roman"/>
          <w:szCs w:val="24"/>
        </w:rPr>
        <w:t xml:space="preserve">chronic non-cancer/non-terminal </w:t>
      </w:r>
      <w:r w:rsidR="00EE18E6">
        <w:rPr>
          <w:rFonts w:ascii="Arial" w:hAnsi="Arial" w:cs="Times New Roman"/>
          <w:szCs w:val="24"/>
        </w:rPr>
        <w:t>pain</w:t>
      </w:r>
      <w:r w:rsidRPr="00223C14">
        <w:rPr>
          <w:rFonts w:ascii="Arial" w:hAnsi="Arial" w:cs="Times New Roman"/>
          <w:szCs w:val="24"/>
        </w:rPr>
        <w:t xml:space="preserve"> patient will be easily found in the </w:t>
      </w:r>
      <w:r w:rsidR="00EE18E6">
        <w:rPr>
          <w:rFonts w:ascii="Arial" w:hAnsi="Arial" w:cs="Times New Roman"/>
          <w:szCs w:val="24"/>
        </w:rPr>
        <w:t>EPIC</w:t>
      </w:r>
      <w:r w:rsidRPr="00223C14">
        <w:rPr>
          <w:rFonts w:ascii="Arial" w:hAnsi="Arial" w:cs="Times New Roman"/>
          <w:szCs w:val="24"/>
        </w:rPr>
        <w:t xml:space="preserve"> problem list</w:t>
      </w:r>
      <w:r>
        <w:rPr>
          <w:rFonts w:ascii="Arial" w:hAnsi="Arial" w:cs="Times New Roman"/>
          <w:szCs w:val="24"/>
        </w:rPr>
        <w:t>.</w:t>
      </w:r>
    </w:p>
    <w:p w14:paraId="59D39D8A" w14:textId="20D595B7" w:rsidR="008F2F78" w:rsidRPr="00C71BCC" w:rsidRDefault="008F2F78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Cs/>
          <w:szCs w:val="24"/>
          <w:u w:val="single"/>
        </w:rPr>
      </w:pPr>
      <w:r w:rsidRPr="00EE18E6">
        <w:rPr>
          <w:rFonts w:ascii="Arial" w:hAnsi="Arial" w:cs="Times New Roman"/>
          <w:szCs w:val="24"/>
        </w:rPr>
        <w:t xml:space="preserve">Every </w:t>
      </w:r>
      <w:r w:rsidR="00EE18E6" w:rsidRPr="00EE18E6">
        <w:rPr>
          <w:rFonts w:ascii="Arial" w:hAnsi="Arial" w:cs="Times New Roman"/>
          <w:szCs w:val="24"/>
        </w:rPr>
        <w:t>chronic non-cancer/non-terminal pain</w:t>
      </w:r>
      <w:r w:rsidRPr="00EE18E6">
        <w:rPr>
          <w:rFonts w:ascii="Arial" w:hAnsi="Arial" w:cs="Times New Roman"/>
          <w:szCs w:val="24"/>
        </w:rPr>
        <w:t xml:space="preserve"> pa</w:t>
      </w:r>
      <w:r w:rsidR="00EE18E6">
        <w:rPr>
          <w:rFonts w:ascii="Arial" w:hAnsi="Arial" w:cs="Times New Roman"/>
          <w:szCs w:val="24"/>
        </w:rPr>
        <w:t xml:space="preserve">tient must review and sign the </w:t>
      </w:r>
      <w:r w:rsidR="00EE18E6" w:rsidRPr="00C4125C">
        <w:rPr>
          <w:rFonts w:ascii="Arial" w:hAnsi="Arial" w:cs="Times New Roman"/>
          <w:szCs w:val="24"/>
        </w:rPr>
        <w:t>Controlled Substance Agreement</w:t>
      </w:r>
      <w:r w:rsidR="00C71BCC">
        <w:rPr>
          <w:rFonts w:ascii="Arial" w:hAnsi="Arial" w:cs="Times New Roman"/>
          <w:szCs w:val="24"/>
        </w:rPr>
        <w:t xml:space="preserve"> a</w:t>
      </w:r>
      <w:r w:rsidR="00C55A73" w:rsidRPr="00C71BCC">
        <w:rPr>
          <w:rFonts w:ascii="Arial" w:hAnsi="Arial" w:cs="Times New Roman"/>
          <w:bCs/>
          <w:szCs w:val="24"/>
        </w:rPr>
        <w:t xml:space="preserve">nd </w:t>
      </w:r>
      <w:r w:rsidR="00C71BCC">
        <w:rPr>
          <w:rFonts w:ascii="Arial" w:hAnsi="Arial" w:cs="Times New Roman"/>
          <w:bCs/>
          <w:szCs w:val="24"/>
        </w:rPr>
        <w:t xml:space="preserve">the </w:t>
      </w:r>
      <w:r w:rsidR="00C55A73" w:rsidRPr="00C71BCC">
        <w:rPr>
          <w:rFonts w:ascii="Arial" w:hAnsi="Arial" w:cs="Times New Roman"/>
          <w:bCs/>
          <w:szCs w:val="24"/>
        </w:rPr>
        <w:t>Materials Risk Notice</w:t>
      </w:r>
      <w:r w:rsidR="00C71BCC">
        <w:rPr>
          <w:rFonts w:ascii="Arial" w:hAnsi="Arial" w:cs="Times New Roman"/>
          <w:bCs/>
          <w:szCs w:val="24"/>
        </w:rPr>
        <w:t>.</w:t>
      </w:r>
    </w:p>
    <w:p w14:paraId="264F9253" w14:textId="77777777" w:rsidR="008F2F78" w:rsidRPr="00EE18E6" w:rsidRDefault="008F2F78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 w:rsidRPr="00EE18E6">
        <w:rPr>
          <w:rFonts w:ascii="Arial" w:hAnsi="Arial" w:cs="Times New Roman"/>
          <w:szCs w:val="24"/>
        </w:rPr>
        <w:t xml:space="preserve">Scan signed copies into the patient’s chart in </w:t>
      </w:r>
      <w:r w:rsidR="00EE18E6">
        <w:rPr>
          <w:rFonts w:ascii="Arial" w:hAnsi="Arial" w:cs="Times New Roman"/>
          <w:szCs w:val="24"/>
        </w:rPr>
        <w:t>EPIC.</w:t>
      </w:r>
    </w:p>
    <w:p w14:paraId="55AD2FCD" w14:textId="77777777" w:rsidR="00BE5F06" w:rsidRPr="00EE18E6" w:rsidRDefault="00EE18E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C</w:t>
      </w:r>
      <w:r w:rsidRPr="00223C14">
        <w:rPr>
          <w:rFonts w:ascii="Arial" w:hAnsi="Arial" w:cs="Times New Roman"/>
          <w:szCs w:val="24"/>
        </w:rPr>
        <w:t xml:space="preserve">hronic non-cancer/non-terminal </w:t>
      </w:r>
      <w:r>
        <w:rPr>
          <w:rFonts w:ascii="Arial" w:hAnsi="Arial" w:cs="Times New Roman"/>
          <w:szCs w:val="24"/>
        </w:rPr>
        <w:t>pain</w:t>
      </w:r>
      <w:r w:rsidR="00BE5F06" w:rsidRPr="00BE5F06">
        <w:rPr>
          <w:rFonts w:ascii="Arial" w:hAnsi="Arial" w:cs="Times New Roman"/>
          <w:b/>
          <w:szCs w:val="24"/>
        </w:rPr>
        <w:t xml:space="preserve"> </w:t>
      </w:r>
      <w:r w:rsidR="00BE5F06" w:rsidRPr="00EE18E6">
        <w:rPr>
          <w:rFonts w:ascii="Arial" w:hAnsi="Arial" w:cs="Times New Roman"/>
          <w:szCs w:val="24"/>
        </w:rPr>
        <w:t>patient charts will contain a patient evaluation/history including</w:t>
      </w:r>
      <w:r>
        <w:rPr>
          <w:rFonts w:ascii="Arial" w:hAnsi="Arial" w:cs="Times New Roman"/>
          <w:szCs w:val="24"/>
        </w:rPr>
        <w:t>:</w:t>
      </w:r>
    </w:p>
    <w:p w14:paraId="700FA768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Detailed </w:t>
      </w:r>
      <w:r w:rsidRPr="00BE5F06">
        <w:rPr>
          <w:rFonts w:ascii="Arial" w:hAnsi="Arial" w:cs="Times New Roman"/>
          <w:szCs w:val="24"/>
        </w:rPr>
        <w:t>Pain History</w:t>
      </w:r>
      <w:r w:rsidR="00EE18E6">
        <w:rPr>
          <w:rFonts w:ascii="Arial" w:hAnsi="Arial" w:cs="Times New Roman"/>
          <w:szCs w:val="24"/>
        </w:rPr>
        <w:t>;</w:t>
      </w:r>
    </w:p>
    <w:p w14:paraId="23963C1E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 xml:space="preserve">Review prior </w:t>
      </w:r>
      <w:r w:rsidR="00EE18E6">
        <w:rPr>
          <w:rFonts w:ascii="Arial" w:hAnsi="Arial" w:cs="Times New Roman"/>
          <w:szCs w:val="24"/>
        </w:rPr>
        <w:t>primary care provider</w:t>
      </w:r>
      <w:r w:rsidRPr="00BE5F06">
        <w:rPr>
          <w:rFonts w:ascii="Arial" w:hAnsi="Arial" w:cs="Times New Roman"/>
          <w:szCs w:val="24"/>
        </w:rPr>
        <w:t xml:space="preserve"> and specialist notes (i.e. Care Everywhere)</w:t>
      </w:r>
      <w:r w:rsidR="00EE18E6">
        <w:rPr>
          <w:rFonts w:ascii="Arial" w:hAnsi="Arial" w:cs="Times New Roman"/>
          <w:szCs w:val="24"/>
        </w:rPr>
        <w:t>;</w:t>
      </w:r>
    </w:p>
    <w:p w14:paraId="558CFDC6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Perform an appropriate physical exam including periodic evaluation of neurologic and musculoskeletal systems</w:t>
      </w:r>
      <w:r w:rsidR="00EE18E6">
        <w:rPr>
          <w:rFonts w:ascii="Arial" w:hAnsi="Arial" w:cs="Times New Roman"/>
          <w:szCs w:val="24"/>
        </w:rPr>
        <w:t>;</w:t>
      </w:r>
    </w:p>
    <w:p w14:paraId="1CF07B95" w14:textId="3CDD55C9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Review and periodically update mental health and substance abuse history</w:t>
      </w:r>
      <w:r w:rsidR="00EE18E6">
        <w:rPr>
          <w:rFonts w:ascii="Arial" w:hAnsi="Arial" w:cs="Times New Roman"/>
          <w:szCs w:val="24"/>
        </w:rPr>
        <w:t>;</w:t>
      </w:r>
      <w:r w:rsidRPr="00BE5F06">
        <w:rPr>
          <w:rFonts w:ascii="Arial" w:hAnsi="Arial" w:cs="Times New Roman"/>
          <w:szCs w:val="24"/>
        </w:rPr>
        <w:t xml:space="preserve"> </w:t>
      </w:r>
    </w:p>
    <w:p w14:paraId="50C1D71F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 w:rsidRPr="00BE5F06">
        <w:rPr>
          <w:rFonts w:ascii="Arial" w:hAnsi="Arial" w:cs="Times New Roman"/>
          <w:szCs w:val="24"/>
        </w:rPr>
        <w:t>A behavioral health assessment with particular attention paid to trauma</w:t>
      </w:r>
      <w:r>
        <w:rPr>
          <w:rFonts w:ascii="Arial" w:hAnsi="Arial" w:cs="Times New Roman"/>
          <w:szCs w:val="24"/>
        </w:rPr>
        <w:t xml:space="preserve"> history</w:t>
      </w:r>
      <w:r w:rsidR="00EE18E6">
        <w:rPr>
          <w:rFonts w:ascii="Arial" w:hAnsi="Arial" w:cs="Times New Roman"/>
          <w:szCs w:val="24"/>
        </w:rPr>
        <w:t>.</w:t>
      </w:r>
    </w:p>
    <w:p w14:paraId="3766B1DB" w14:textId="77777777" w:rsidR="00EE18E6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EE18E6">
        <w:rPr>
          <w:rFonts w:ascii="Arial" w:hAnsi="Arial" w:cs="Times New Roman"/>
          <w:szCs w:val="24"/>
        </w:rPr>
        <w:t>Assess for functionality in relation to pain and opiate use periodically</w:t>
      </w:r>
      <w:r w:rsidR="00EE18E6">
        <w:rPr>
          <w:rFonts w:ascii="Arial" w:hAnsi="Arial" w:cs="Times New Roman"/>
          <w:szCs w:val="24"/>
        </w:rPr>
        <w:t xml:space="preserve">. </w:t>
      </w:r>
    </w:p>
    <w:p w14:paraId="79C1E01E" w14:textId="6F7ECEAB" w:rsidR="00BE5F06" w:rsidRPr="00EE18E6" w:rsidRDefault="00C55A73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Consider utilizing standardized evidence</w:t>
      </w:r>
      <w:r w:rsidR="0014352B">
        <w:rPr>
          <w:rFonts w:ascii="Arial" w:hAnsi="Arial" w:cs="Times New Roman"/>
          <w:szCs w:val="24"/>
        </w:rPr>
        <w:t>-</w:t>
      </w:r>
      <w:r>
        <w:rPr>
          <w:rFonts w:ascii="Arial" w:hAnsi="Arial" w:cs="Times New Roman"/>
          <w:szCs w:val="24"/>
        </w:rPr>
        <w:t>based forms, like</w:t>
      </w:r>
      <w:r w:rsidR="00EE18E6">
        <w:rPr>
          <w:rFonts w:ascii="Arial" w:hAnsi="Arial" w:cs="Times New Roman"/>
          <w:szCs w:val="24"/>
        </w:rPr>
        <w:t xml:space="preserve"> the PEG Pain Screening Tool.</w:t>
      </w:r>
    </w:p>
    <w:p w14:paraId="1DBFDCA1" w14:textId="22674495" w:rsidR="00BE5F06" w:rsidRPr="00EE18E6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EE18E6">
        <w:rPr>
          <w:rFonts w:ascii="Arial" w:hAnsi="Arial" w:cs="Times New Roman"/>
          <w:szCs w:val="24"/>
        </w:rPr>
        <w:t>Regularly monitor and doc</w:t>
      </w:r>
      <w:r w:rsidR="00C55A73">
        <w:rPr>
          <w:rFonts w:ascii="Arial" w:hAnsi="Arial" w:cs="Times New Roman"/>
          <w:szCs w:val="24"/>
        </w:rPr>
        <w:t>ument subjective pain measures</w:t>
      </w:r>
    </w:p>
    <w:p w14:paraId="647FDE88" w14:textId="77777777" w:rsidR="00BE5F06" w:rsidRPr="00EE18E6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EE18E6">
        <w:rPr>
          <w:rFonts w:ascii="Arial" w:hAnsi="Arial" w:cs="Times New Roman"/>
          <w:szCs w:val="24"/>
        </w:rPr>
        <w:t>Regularly monitor for opioid risk.</w:t>
      </w:r>
    </w:p>
    <w:p w14:paraId="188903A4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Utilize </w:t>
      </w:r>
      <w:r w:rsidRPr="00BE5F06">
        <w:rPr>
          <w:rFonts w:ascii="Arial" w:hAnsi="Arial" w:cs="Times New Roman"/>
          <w:szCs w:val="24"/>
        </w:rPr>
        <w:t>Opioid Risk Tool at least once</w:t>
      </w:r>
      <w:r w:rsidR="00EE18E6">
        <w:rPr>
          <w:rFonts w:ascii="Arial" w:hAnsi="Arial" w:cs="Times New Roman"/>
          <w:szCs w:val="24"/>
        </w:rPr>
        <w:t xml:space="preserve"> (The Opioid Risk Tool is available as a dot phrase in EPIC).</w:t>
      </w:r>
    </w:p>
    <w:p w14:paraId="5B5D6432" w14:textId="77777777" w:rsidR="00BE5F06" w:rsidRPr="00022753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022753">
        <w:rPr>
          <w:rFonts w:ascii="Arial" w:hAnsi="Arial" w:cs="Times New Roman"/>
          <w:szCs w:val="24"/>
        </w:rPr>
        <w:t>Check the prescription drug monitoring program at least annually</w:t>
      </w:r>
      <w:r w:rsidR="008977D4" w:rsidRPr="00022753">
        <w:rPr>
          <w:rFonts w:ascii="Arial" w:hAnsi="Arial" w:cs="Times New Roman"/>
          <w:szCs w:val="24"/>
        </w:rPr>
        <w:t xml:space="preserve"> and document in the patient record.</w:t>
      </w:r>
      <w:r w:rsidR="00C40598" w:rsidRPr="00022753">
        <w:rPr>
          <w:rFonts w:ascii="Arial" w:hAnsi="Arial" w:cs="Times New Roman"/>
          <w:szCs w:val="24"/>
        </w:rPr>
        <w:t xml:space="preserve"> </w:t>
      </w:r>
    </w:p>
    <w:p w14:paraId="28D9C628" w14:textId="77777777" w:rsidR="00BE5F06" w:rsidRPr="00022753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022753">
        <w:rPr>
          <w:rFonts w:ascii="Arial" w:hAnsi="Arial" w:cs="Times New Roman"/>
          <w:szCs w:val="24"/>
        </w:rPr>
        <w:lastRenderedPageBreak/>
        <w:t>Perform a random urine drug screen at least annually</w:t>
      </w:r>
    </w:p>
    <w:p w14:paraId="4593A6E6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 xml:space="preserve">If aberrant </w:t>
      </w:r>
      <w:r w:rsidRPr="008977D4">
        <w:rPr>
          <w:rFonts w:ascii="Arial" w:hAnsi="Arial" w:cs="Times New Roman"/>
          <w:szCs w:val="24"/>
        </w:rPr>
        <w:t xml:space="preserve">behavior </w:t>
      </w:r>
      <w:r w:rsidR="008977D4" w:rsidRPr="008977D4">
        <w:rPr>
          <w:rFonts w:ascii="Arial" w:hAnsi="Arial" w:cs="Times New Roman"/>
          <w:szCs w:val="24"/>
        </w:rPr>
        <w:t>occurs</w:t>
      </w:r>
      <w:r w:rsidRPr="00BE5F06">
        <w:rPr>
          <w:rFonts w:ascii="Arial" w:hAnsi="Arial" w:cs="Times New Roman"/>
          <w:szCs w:val="24"/>
        </w:rPr>
        <w:t>,</w:t>
      </w:r>
      <w:r w:rsidR="008977D4">
        <w:rPr>
          <w:rFonts w:ascii="Arial" w:hAnsi="Arial" w:cs="Times New Roman"/>
          <w:szCs w:val="24"/>
        </w:rPr>
        <w:t xml:space="preserve"> such as early refill requests, inappropriate urine drug screen results, or outside prescriptions, </w:t>
      </w:r>
      <w:r w:rsidRPr="00BE5F06">
        <w:rPr>
          <w:rFonts w:ascii="Arial" w:hAnsi="Arial" w:cs="Times New Roman"/>
          <w:szCs w:val="24"/>
        </w:rPr>
        <w:t>increase</w:t>
      </w:r>
      <w:r w:rsidR="008977D4">
        <w:rPr>
          <w:rFonts w:ascii="Arial" w:hAnsi="Arial" w:cs="Times New Roman"/>
          <w:szCs w:val="24"/>
        </w:rPr>
        <w:t>d</w:t>
      </w:r>
      <w:r w:rsidRPr="00BE5F06">
        <w:rPr>
          <w:rFonts w:ascii="Arial" w:hAnsi="Arial" w:cs="Times New Roman"/>
          <w:szCs w:val="24"/>
        </w:rPr>
        <w:t xml:space="preserve"> frequency of </w:t>
      </w:r>
      <w:r w:rsidR="00EE18E6">
        <w:rPr>
          <w:rFonts w:ascii="Arial" w:hAnsi="Arial" w:cs="Times New Roman"/>
          <w:szCs w:val="24"/>
        </w:rPr>
        <w:t>urine drug screening</w:t>
      </w:r>
      <w:r w:rsidR="008977D4">
        <w:rPr>
          <w:rFonts w:ascii="Arial" w:hAnsi="Arial" w:cs="Times New Roman"/>
          <w:szCs w:val="24"/>
        </w:rPr>
        <w:t xml:space="preserve"> and pill counts may be necessary, as well as, shorter</w:t>
      </w:r>
      <w:r w:rsidRPr="00BE5F06">
        <w:rPr>
          <w:rFonts w:ascii="Arial" w:hAnsi="Arial" w:cs="Times New Roman"/>
          <w:szCs w:val="24"/>
        </w:rPr>
        <w:t xml:space="preserve"> opioid refills</w:t>
      </w:r>
      <w:r w:rsidR="00EE18E6">
        <w:rPr>
          <w:rFonts w:ascii="Arial" w:hAnsi="Arial" w:cs="Times New Roman"/>
          <w:szCs w:val="24"/>
        </w:rPr>
        <w:t>.</w:t>
      </w:r>
    </w:p>
    <w:p w14:paraId="4C76B280" w14:textId="77777777" w:rsidR="00BE5F06" w:rsidRPr="008977D4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BE5F06">
        <w:rPr>
          <w:rFonts w:ascii="Arial" w:hAnsi="Arial" w:cs="Times New Roman"/>
          <w:szCs w:val="24"/>
        </w:rPr>
        <w:t xml:space="preserve">If methadone is prescribed, obtain an </w:t>
      </w:r>
      <w:r w:rsidR="00EE18E6">
        <w:rPr>
          <w:rFonts w:ascii="Arial" w:hAnsi="Arial" w:cs="Times New Roman"/>
          <w:szCs w:val="24"/>
        </w:rPr>
        <w:t>electrocardiogram</w:t>
      </w:r>
      <w:r w:rsidRPr="00BE5F06">
        <w:rPr>
          <w:rFonts w:ascii="Arial" w:hAnsi="Arial" w:cs="Times New Roman"/>
          <w:szCs w:val="24"/>
        </w:rPr>
        <w:t xml:space="preserve"> at least annually for high doses or in patients with increased cardiovascular risk or symptoms such as syncope, seizure, or palpitations. Also</w:t>
      </w:r>
      <w:r w:rsidR="00DC1123">
        <w:rPr>
          <w:rFonts w:ascii="Arial" w:hAnsi="Arial" w:cs="Times New Roman"/>
          <w:szCs w:val="24"/>
        </w:rPr>
        <w:t>,</w:t>
      </w:r>
      <w:r w:rsidRPr="00BE5F06">
        <w:rPr>
          <w:rFonts w:ascii="Arial" w:hAnsi="Arial" w:cs="Times New Roman"/>
          <w:szCs w:val="24"/>
        </w:rPr>
        <w:t xml:space="preserve"> please ensure methadone is being used for pain management and </w:t>
      </w:r>
      <w:r w:rsidRPr="00DC1123">
        <w:rPr>
          <w:rFonts w:ascii="Arial" w:hAnsi="Arial" w:cs="Times New Roman"/>
          <w:szCs w:val="24"/>
        </w:rPr>
        <w:t>not</w:t>
      </w:r>
      <w:r w:rsidRPr="00BE5F06">
        <w:rPr>
          <w:rFonts w:ascii="Arial" w:hAnsi="Arial" w:cs="Times New Roman"/>
          <w:szCs w:val="24"/>
        </w:rPr>
        <w:t xml:space="preserve"> opioid addiction treatment</w:t>
      </w:r>
      <w:r>
        <w:rPr>
          <w:rFonts w:ascii="Arial" w:hAnsi="Arial" w:cs="Times New Roman"/>
          <w:szCs w:val="24"/>
        </w:rPr>
        <w:t>.</w:t>
      </w:r>
    </w:p>
    <w:p w14:paraId="00AAB664" w14:textId="77777777" w:rsidR="008977D4" w:rsidRPr="00161E5B" w:rsidRDefault="008977D4" w:rsidP="008977D4">
      <w:pPr>
        <w:pStyle w:val="ListParagraph"/>
        <w:numPr>
          <w:ilvl w:val="3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161E5B">
        <w:rPr>
          <w:rFonts w:ascii="Arial" w:hAnsi="Arial" w:cs="Times New Roman"/>
          <w:szCs w:val="24"/>
        </w:rPr>
        <w:t>Please note that it is illegal to utilize methadone for opioid addiction treatment in the clinic setting</w:t>
      </w:r>
      <w:r w:rsidR="00161E5B" w:rsidRPr="00161E5B">
        <w:rPr>
          <w:rFonts w:ascii="Arial" w:hAnsi="Arial" w:cs="Times New Roman"/>
          <w:szCs w:val="24"/>
        </w:rPr>
        <w:t>.</w:t>
      </w:r>
    </w:p>
    <w:p w14:paraId="3023BE4C" w14:textId="77777777" w:rsidR="00BE5F06" w:rsidRPr="00DC1123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DC1123">
        <w:rPr>
          <w:rFonts w:ascii="Arial" w:hAnsi="Arial" w:cs="Times New Roman"/>
          <w:szCs w:val="24"/>
        </w:rPr>
        <w:t xml:space="preserve">Maintain a comprehensive treatment plan with agreed upon treatment goals. </w:t>
      </w:r>
    </w:p>
    <w:p w14:paraId="66482447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Regularly </w:t>
      </w:r>
      <w:r w:rsidRPr="00BE5F06">
        <w:rPr>
          <w:rFonts w:ascii="Arial" w:hAnsi="Arial" w:cs="Times New Roman"/>
          <w:szCs w:val="24"/>
        </w:rPr>
        <w:t>evaluate effectiveness and safety of opioid treatment</w:t>
      </w:r>
      <w:r w:rsidR="00DC1123">
        <w:rPr>
          <w:rFonts w:ascii="Arial" w:hAnsi="Arial" w:cs="Times New Roman"/>
          <w:szCs w:val="24"/>
        </w:rPr>
        <w:t>.</w:t>
      </w:r>
    </w:p>
    <w:p w14:paraId="78A4A5BF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/>
        <w:contextualSpacing w:val="0"/>
        <w:rPr>
          <w:rFonts w:ascii="Arial" w:hAnsi="Arial" w:cs="Times New Roman"/>
          <w:szCs w:val="24"/>
        </w:rPr>
      </w:pPr>
      <w:r w:rsidRPr="00BE5F06">
        <w:rPr>
          <w:rFonts w:ascii="Arial" w:hAnsi="Arial" w:cs="Times New Roman"/>
          <w:szCs w:val="24"/>
        </w:rPr>
        <w:t>Regularly recommend physical modalities and self-care strategies to manage chronic pain</w:t>
      </w:r>
      <w:r w:rsidR="00DC1123">
        <w:rPr>
          <w:rFonts w:ascii="Arial" w:hAnsi="Arial" w:cs="Times New Roman"/>
          <w:szCs w:val="24"/>
        </w:rPr>
        <w:t>.</w:t>
      </w:r>
    </w:p>
    <w:p w14:paraId="345C7B57" w14:textId="77777777" w:rsidR="0014352B" w:rsidRPr="0014352B" w:rsidRDefault="00DC1123" w:rsidP="0014352B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</w:pPr>
      <w:r>
        <w:rPr>
          <w:rFonts w:ascii="Arial" w:hAnsi="Arial" w:cs="Times New Roman"/>
          <w:szCs w:val="24"/>
        </w:rPr>
        <w:t>C</w:t>
      </w:r>
      <w:r w:rsidRPr="00223C14">
        <w:rPr>
          <w:rFonts w:ascii="Arial" w:hAnsi="Arial" w:cs="Times New Roman"/>
          <w:szCs w:val="24"/>
        </w:rPr>
        <w:t xml:space="preserve">hronic non-cancer/non-terminal </w:t>
      </w:r>
      <w:r>
        <w:rPr>
          <w:rFonts w:ascii="Arial" w:hAnsi="Arial" w:cs="Times New Roman"/>
          <w:szCs w:val="24"/>
        </w:rPr>
        <w:t>pain</w:t>
      </w:r>
      <w:r w:rsidR="00BE5F06" w:rsidRPr="00BE5F06">
        <w:rPr>
          <w:rFonts w:ascii="Arial" w:hAnsi="Arial" w:cs="Times New Roman"/>
          <w:szCs w:val="24"/>
        </w:rPr>
        <w:t xml:space="preserve"> patients should not expect to have opiates reduce their pain by more than</w:t>
      </w:r>
      <w:r w:rsidR="00BE5F06">
        <w:rPr>
          <w:rFonts w:ascii="Arial" w:hAnsi="Arial" w:cs="Times New Roman"/>
          <w:szCs w:val="24"/>
        </w:rPr>
        <w:t xml:space="preserve"> </w:t>
      </w:r>
      <w:r w:rsidR="0014352B">
        <w:rPr>
          <w:rFonts w:ascii="Arial" w:hAnsi="Arial" w:cs="Times New Roman"/>
          <w:szCs w:val="24"/>
        </w:rPr>
        <w:t>30%.</w:t>
      </w:r>
    </w:p>
    <w:p w14:paraId="09461EC8" w14:textId="77777777" w:rsidR="008977D4" w:rsidRPr="008977D4" w:rsidRDefault="008977D4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Frequency of Assessment</w:t>
      </w:r>
      <w:r>
        <w:rPr>
          <w:rFonts w:ascii="Arial" w:hAnsi="Arial" w:cs="Times New Roman"/>
          <w:szCs w:val="24"/>
        </w:rPr>
        <w:tab/>
      </w:r>
    </w:p>
    <w:p w14:paraId="62178D43" w14:textId="77777777" w:rsidR="008977D4" w:rsidRPr="00161E5B" w:rsidRDefault="008977D4" w:rsidP="008977D4">
      <w:pPr>
        <w:pStyle w:val="ListParagraph"/>
        <w:numPr>
          <w:ilvl w:val="2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161E5B">
        <w:rPr>
          <w:rFonts w:ascii="Arial" w:hAnsi="Arial" w:cs="Times New Roman"/>
          <w:szCs w:val="24"/>
        </w:rPr>
        <w:t xml:space="preserve">Chronic non-cancer/non-terminal pain patients taking chronic opioid medications should be seen by their primary prescriber a minimum of every 3 months. </w:t>
      </w:r>
    </w:p>
    <w:p w14:paraId="3C931C6E" w14:textId="5E8C7022" w:rsidR="008977D4" w:rsidRPr="00161E5B" w:rsidRDefault="00C71BCC" w:rsidP="008977D4">
      <w:pPr>
        <w:pStyle w:val="ListParagraph"/>
        <w:numPr>
          <w:ilvl w:val="3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Patients with high risk behaviors</w:t>
      </w:r>
      <w:r w:rsidR="008977D4" w:rsidRPr="00161E5B">
        <w:rPr>
          <w:rFonts w:ascii="Arial" w:hAnsi="Arial" w:cs="Times New Roman"/>
          <w:szCs w:val="24"/>
        </w:rPr>
        <w:t xml:space="preserve"> may be required to be seen more frequently at the primary provider’s discretion</w:t>
      </w:r>
      <w:r w:rsidR="00161E5B">
        <w:rPr>
          <w:rFonts w:ascii="Arial" w:hAnsi="Arial" w:cs="Times New Roman"/>
          <w:szCs w:val="24"/>
        </w:rPr>
        <w:t>.</w:t>
      </w:r>
    </w:p>
    <w:p w14:paraId="72B680AC" w14:textId="77777777" w:rsidR="008977D4" w:rsidRPr="00161E5B" w:rsidRDefault="008977D4" w:rsidP="008977D4">
      <w:pPr>
        <w:pStyle w:val="ListParagraph"/>
        <w:numPr>
          <w:ilvl w:val="3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161E5B">
        <w:rPr>
          <w:rFonts w:ascii="Arial" w:hAnsi="Arial" w:cs="Times New Roman"/>
          <w:szCs w:val="24"/>
        </w:rPr>
        <w:t>Assessment of treatment adherence, side effects, and progress toward treatment goals should be assessed at each visit</w:t>
      </w:r>
      <w:r w:rsidR="00161E5B">
        <w:rPr>
          <w:rFonts w:ascii="Arial" w:hAnsi="Arial" w:cs="Times New Roman"/>
          <w:szCs w:val="24"/>
        </w:rPr>
        <w:t>.</w:t>
      </w:r>
    </w:p>
    <w:p w14:paraId="5E734915" w14:textId="77777777" w:rsidR="008977D4" w:rsidRPr="00161E5B" w:rsidRDefault="008977D4" w:rsidP="008977D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161E5B">
        <w:rPr>
          <w:rFonts w:ascii="Arial" w:hAnsi="Arial" w:cs="Times New Roman"/>
          <w:szCs w:val="24"/>
        </w:rPr>
        <w:t>Multi-modal management of chronic pain should be discussed at each visit</w:t>
      </w:r>
      <w:r w:rsidR="00161E5B">
        <w:rPr>
          <w:rFonts w:ascii="Arial" w:hAnsi="Arial" w:cs="Times New Roman"/>
          <w:szCs w:val="24"/>
        </w:rPr>
        <w:t>.</w:t>
      </w:r>
    </w:p>
    <w:p w14:paraId="07C79B8D" w14:textId="77777777" w:rsidR="00BE5F06" w:rsidRPr="00DC1123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DC1123">
        <w:rPr>
          <w:rFonts w:ascii="Arial" w:hAnsi="Arial" w:cs="Times New Roman"/>
          <w:szCs w:val="24"/>
        </w:rPr>
        <w:t>Opioid prescribing daily dosing limit</w:t>
      </w:r>
      <w:r w:rsidR="00DC1123">
        <w:rPr>
          <w:rFonts w:ascii="Arial" w:hAnsi="Arial" w:cs="Times New Roman"/>
          <w:szCs w:val="24"/>
        </w:rPr>
        <w:t>.</w:t>
      </w:r>
    </w:p>
    <w:p w14:paraId="0FA71970" w14:textId="629EE558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This </w:t>
      </w:r>
      <w:r w:rsidRPr="00BE5F06">
        <w:rPr>
          <w:rFonts w:ascii="Arial" w:hAnsi="Arial" w:cs="Times New Roman"/>
          <w:szCs w:val="24"/>
        </w:rPr>
        <w:t xml:space="preserve">applies to every </w:t>
      </w:r>
      <w:r w:rsidR="0014352B">
        <w:rPr>
          <w:rFonts w:ascii="Arial" w:hAnsi="Arial" w:cs="Times New Roman"/>
          <w:szCs w:val="24"/>
        </w:rPr>
        <w:t xml:space="preserve">patient with </w:t>
      </w:r>
      <w:r w:rsidR="00DC1123" w:rsidRPr="00223C14">
        <w:rPr>
          <w:rFonts w:ascii="Arial" w:hAnsi="Arial" w:cs="Times New Roman"/>
          <w:szCs w:val="24"/>
        </w:rPr>
        <w:t xml:space="preserve">chronic non-cancer/non-terminal </w:t>
      </w:r>
      <w:r w:rsidR="00DC1123">
        <w:rPr>
          <w:rFonts w:ascii="Arial" w:hAnsi="Arial" w:cs="Times New Roman"/>
          <w:szCs w:val="24"/>
        </w:rPr>
        <w:t>pain</w:t>
      </w:r>
      <w:r w:rsidR="00DC1123" w:rsidRPr="00BE5F06">
        <w:rPr>
          <w:rFonts w:ascii="Arial" w:hAnsi="Arial" w:cs="Times New Roman"/>
          <w:szCs w:val="24"/>
        </w:rPr>
        <w:t xml:space="preserve"> </w:t>
      </w:r>
      <w:r w:rsidRPr="00BE5F06">
        <w:rPr>
          <w:rFonts w:ascii="Arial" w:hAnsi="Arial" w:cs="Times New Roman"/>
          <w:szCs w:val="24"/>
        </w:rPr>
        <w:t xml:space="preserve">regardless of how long they have been with </w:t>
      </w:r>
      <w:r w:rsidR="00DC1123">
        <w:rPr>
          <w:rFonts w:ascii="Arial" w:hAnsi="Arial" w:cs="Times New Roman"/>
          <w:szCs w:val="24"/>
        </w:rPr>
        <w:t xml:space="preserve">Clackamas </w:t>
      </w:r>
      <w:r w:rsidR="00C4125C">
        <w:rPr>
          <w:rFonts w:ascii="Arial" w:hAnsi="Arial" w:cs="Times New Roman"/>
          <w:szCs w:val="24"/>
        </w:rPr>
        <w:t>Health Centers</w:t>
      </w:r>
      <w:r w:rsidR="00DC1123">
        <w:rPr>
          <w:rFonts w:ascii="Arial" w:hAnsi="Arial" w:cs="Times New Roman"/>
          <w:szCs w:val="24"/>
        </w:rPr>
        <w:t xml:space="preserve"> </w:t>
      </w:r>
      <w:r w:rsidRPr="00BE5F06">
        <w:rPr>
          <w:rFonts w:ascii="Arial" w:hAnsi="Arial" w:cs="Times New Roman"/>
          <w:szCs w:val="24"/>
        </w:rPr>
        <w:t xml:space="preserve">and </w:t>
      </w:r>
      <w:r w:rsidR="00DC1123">
        <w:rPr>
          <w:rFonts w:ascii="Arial" w:hAnsi="Arial" w:cs="Times New Roman"/>
          <w:szCs w:val="24"/>
        </w:rPr>
        <w:t xml:space="preserve">their </w:t>
      </w:r>
      <w:r w:rsidRPr="00BE5F06">
        <w:rPr>
          <w:rFonts w:ascii="Arial" w:hAnsi="Arial" w:cs="Times New Roman"/>
          <w:szCs w:val="24"/>
        </w:rPr>
        <w:t>provider</w:t>
      </w:r>
      <w:r w:rsidR="00DC1123">
        <w:rPr>
          <w:rFonts w:ascii="Arial" w:hAnsi="Arial" w:cs="Times New Roman"/>
          <w:szCs w:val="24"/>
        </w:rPr>
        <w:t>.</w:t>
      </w:r>
    </w:p>
    <w:p w14:paraId="18878D6B" w14:textId="2D7E40F6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Avoid a total opioid dose greater than 50-90 MED (mill</w:t>
      </w:r>
      <w:r w:rsidR="00DC1123">
        <w:rPr>
          <w:rFonts w:ascii="Arial" w:hAnsi="Arial" w:cs="Times New Roman"/>
          <w:szCs w:val="24"/>
        </w:rPr>
        <w:t>i</w:t>
      </w:r>
      <w:r w:rsidRPr="00BE5F06">
        <w:rPr>
          <w:rFonts w:ascii="Arial" w:hAnsi="Arial" w:cs="Times New Roman"/>
          <w:szCs w:val="24"/>
        </w:rPr>
        <w:t>equivalents of morphine) for patients who have been managed with chronic opiates (</w:t>
      </w:r>
      <w:r w:rsidR="0014352B">
        <w:rPr>
          <w:rFonts w:ascii="Arial" w:hAnsi="Arial" w:cs="Times New Roman"/>
          <w:szCs w:val="24"/>
        </w:rPr>
        <w:t xml:space="preserve">patients on </w:t>
      </w:r>
      <w:r w:rsidRPr="00BE5F06">
        <w:rPr>
          <w:rFonts w:ascii="Arial" w:hAnsi="Arial" w:cs="Times New Roman"/>
          <w:szCs w:val="24"/>
        </w:rPr>
        <w:t xml:space="preserve">“legacy” </w:t>
      </w:r>
      <w:r w:rsidR="0014352B">
        <w:rPr>
          <w:rFonts w:ascii="Arial" w:hAnsi="Arial" w:cs="Times New Roman"/>
          <w:szCs w:val="24"/>
        </w:rPr>
        <w:t>prescriptions</w:t>
      </w:r>
      <w:r w:rsidRPr="00BE5F06">
        <w:rPr>
          <w:rFonts w:ascii="Arial" w:hAnsi="Arial" w:cs="Times New Roman"/>
          <w:szCs w:val="24"/>
        </w:rPr>
        <w:t xml:space="preserve">). For </w:t>
      </w:r>
      <w:r w:rsidR="00DC1123">
        <w:rPr>
          <w:rFonts w:ascii="Arial" w:hAnsi="Arial" w:cs="Times New Roman"/>
          <w:szCs w:val="24"/>
        </w:rPr>
        <w:t xml:space="preserve">patients new to </w:t>
      </w:r>
      <w:r w:rsidR="0014352B">
        <w:rPr>
          <w:rFonts w:ascii="Arial" w:hAnsi="Arial" w:cs="Times New Roman"/>
          <w:szCs w:val="24"/>
        </w:rPr>
        <w:t>Clinic</w:t>
      </w:r>
      <w:r w:rsidR="00DC1123">
        <w:rPr>
          <w:rFonts w:ascii="Arial" w:hAnsi="Arial" w:cs="Times New Roman"/>
          <w:szCs w:val="24"/>
        </w:rPr>
        <w:t xml:space="preserve"> </w:t>
      </w:r>
      <w:r w:rsidR="00C4125C">
        <w:rPr>
          <w:rFonts w:ascii="Arial" w:hAnsi="Arial" w:cs="Times New Roman"/>
          <w:szCs w:val="24"/>
        </w:rPr>
        <w:t>Health Centers</w:t>
      </w:r>
      <w:r w:rsidR="00DC1123">
        <w:rPr>
          <w:rFonts w:ascii="Arial" w:hAnsi="Arial" w:cs="Times New Roman"/>
          <w:szCs w:val="24"/>
        </w:rPr>
        <w:t>,</w:t>
      </w:r>
      <w:r w:rsidRPr="00BE5F06">
        <w:rPr>
          <w:rFonts w:ascii="Arial" w:hAnsi="Arial" w:cs="Times New Roman"/>
          <w:szCs w:val="24"/>
        </w:rPr>
        <w:t xml:space="preserve"> who are not patients</w:t>
      </w:r>
      <w:r w:rsidR="0014352B">
        <w:rPr>
          <w:rFonts w:ascii="Arial" w:hAnsi="Arial" w:cs="Times New Roman"/>
          <w:szCs w:val="24"/>
        </w:rPr>
        <w:t xml:space="preserve"> on legacy prescriptions</w:t>
      </w:r>
      <w:r w:rsidRPr="00BE5F06">
        <w:rPr>
          <w:rFonts w:ascii="Arial" w:hAnsi="Arial" w:cs="Times New Roman"/>
          <w:szCs w:val="24"/>
        </w:rPr>
        <w:t xml:space="preserve">, the </w:t>
      </w:r>
      <w:r w:rsidRPr="00BE5F06">
        <w:rPr>
          <w:rFonts w:ascii="Arial" w:hAnsi="Arial" w:cs="Times New Roman"/>
          <w:b/>
          <w:szCs w:val="24"/>
        </w:rPr>
        <w:t>MED maximum is 50 MED.</w:t>
      </w:r>
      <w:r w:rsidRPr="00BE5F06">
        <w:rPr>
          <w:rFonts w:ascii="Arial" w:hAnsi="Arial" w:cs="Times New Roman"/>
          <w:szCs w:val="24"/>
        </w:rPr>
        <w:t xml:space="preserve"> The MED calculator of reference is found at</w:t>
      </w:r>
      <w:r w:rsidR="00DC1123">
        <w:rPr>
          <w:rFonts w:ascii="Arial" w:hAnsi="Arial" w:cs="Times New Roman"/>
          <w:szCs w:val="24"/>
        </w:rPr>
        <w:t>:</w:t>
      </w:r>
      <w:r w:rsidRPr="00BE5F06">
        <w:rPr>
          <w:rFonts w:ascii="Arial" w:hAnsi="Arial" w:cs="Times New Roman"/>
          <w:szCs w:val="24"/>
        </w:rPr>
        <w:t xml:space="preserve"> </w:t>
      </w:r>
      <w:hyperlink r:id="rId7" w:history="1">
        <w:r w:rsidRPr="00BE5F06">
          <w:rPr>
            <w:rStyle w:val="Hyperlink"/>
            <w:rFonts w:ascii="Arial" w:hAnsi="Arial" w:cs="Times New Roman"/>
            <w:szCs w:val="24"/>
          </w:rPr>
          <w:t>https://www.oregonpainguidance.org/opioidmedcalculator/</w:t>
        </w:r>
      </w:hyperlink>
      <w:r w:rsidR="00DC1123">
        <w:rPr>
          <w:rFonts w:ascii="Arial" w:hAnsi="Arial" w:cs="Times New Roman"/>
          <w:szCs w:val="24"/>
        </w:rPr>
        <w:t>.</w:t>
      </w:r>
    </w:p>
    <w:p w14:paraId="23491066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If patient is above the limit, two paths may be followed</w:t>
      </w:r>
    </w:p>
    <w:p w14:paraId="4506DA51" w14:textId="77777777" w:rsidR="00BE5F06" w:rsidRPr="00BE5F06" w:rsidRDefault="00BE5F06" w:rsidP="00DE7677">
      <w:pPr>
        <w:pStyle w:val="ListParagraph"/>
        <w:numPr>
          <w:ilvl w:val="3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BE5F06">
        <w:rPr>
          <w:rFonts w:ascii="Arial" w:hAnsi="Arial" w:cs="Times New Roman"/>
          <w:szCs w:val="24"/>
        </w:rPr>
        <w:lastRenderedPageBreak/>
        <w:t>Include</w:t>
      </w:r>
      <w:r w:rsidR="00512F60">
        <w:rPr>
          <w:rFonts w:ascii="Arial" w:hAnsi="Arial" w:cs="Times New Roman"/>
          <w:szCs w:val="24"/>
        </w:rPr>
        <w:t>,</w:t>
      </w:r>
      <w:r w:rsidRPr="00BE5F06">
        <w:rPr>
          <w:rFonts w:ascii="Arial" w:hAnsi="Arial" w:cs="Times New Roman"/>
          <w:szCs w:val="24"/>
        </w:rPr>
        <w:t xml:space="preserve"> in </w:t>
      </w:r>
      <w:r w:rsidRPr="00DC1123">
        <w:rPr>
          <w:rFonts w:ascii="Arial" w:hAnsi="Arial" w:cs="Times New Roman"/>
          <w:szCs w:val="24"/>
        </w:rPr>
        <w:t>every</w:t>
      </w:r>
      <w:r w:rsidRPr="00BE5F06">
        <w:rPr>
          <w:rFonts w:ascii="Arial" w:hAnsi="Arial" w:cs="Times New Roman"/>
          <w:szCs w:val="24"/>
        </w:rPr>
        <w:t xml:space="preserve"> progress note the plan for taper </w:t>
      </w:r>
      <w:r w:rsidR="00512F60">
        <w:rPr>
          <w:rFonts w:ascii="Arial" w:hAnsi="Arial" w:cs="Times New Roman"/>
          <w:szCs w:val="24"/>
        </w:rPr>
        <w:t>with</w:t>
      </w:r>
      <w:r w:rsidRPr="00BE5F06">
        <w:rPr>
          <w:rFonts w:ascii="Arial" w:hAnsi="Arial" w:cs="Times New Roman"/>
          <w:szCs w:val="24"/>
        </w:rPr>
        <w:t xml:space="preserve"> time</w:t>
      </w:r>
      <w:r>
        <w:rPr>
          <w:rFonts w:ascii="Arial" w:hAnsi="Arial" w:cs="Times New Roman"/>
          <w:szCs w:val="24"/>
        </w:rPr>
        <w:t xml:space="preserve"> frame</w:t>
      </w:r>
      <w:r w:rsidR="00512F60">
        <w:rPr>
          <w:rFonts w:ascii="Arial" w:hAnsi="Arial" w:cs="Times New Roman"/>
          <w:szCs w:val="24"/>
        </w:rPr>
        <w:t>.</w:t>
      </w:r>
    </w:p>
    <w:p w14:paraId="32F23749" w14:textId="77777777" w:rsidR="00BE5F06" w:rsidRPr="00BE5F06" w:rsidRDefault="00BE5F06" w:rsidP="00DE7677">
      <w:pPr>
        <w:pStyle w:val="ListParagraph"/>
        <w:numPr>
          <w:ilvl w:val="3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 xml:space="preserve">If </w:t>
      </w:r>
      <w:r w:rsidRPr="00BE5F06">
        <w:rPr>
          <w:rFonts w:ascii="Arial" w:hAnsi="Arial" w:cs="Times New Roman"/>
          <w:szCs w:val="24"/>
        </w:rPr>
        <w:t>taper is not in the plan, documentation of a qualified review is required. This includes, but is not limited to</w:t>
      </w:r>
      <w:r w:rsidR="00512F60">
        <w:rPr>
          <w:rFonts w:ascii="Arial" w:hAnsi="Arial" w:cs="Times New Roman"/>
          <w:szCs w:val="24"/>
        </w:rPr>
        <w:t>,</w:t>
      </w:r>
      <w:r w:rsidRPr="00BE5F06">
        <w:rPr>
          <w:rFonts w:ascii="Arial" w:hAnsi="Arial" w:cs="Times New Roman"/>
          <w:szCs w:val="24"/>
        </w:rPr>
        <w:t xml:space="preserve"> a pain specialist or the </w:t>
      </w:r>
      <w:r w:rsidR="00C82EFE">
        <w:rPr>
          <w:rFonts w:ascii="Arial" w:hAnsi="Arial" w:cs="Times New Roman"/>
          <w:szCs w:val="24"/>
        </w:rPr>
        <w:t xml:space="preserve">Opioid Oversight Committee. </w:t>
      </w:r>
      <w:r w:rsidRPr="00BE5F06">
        <w:rPr>
          <w:rFonts w:ascii="Arial" w:hAnsi="Arial" w:cs="Times New Roman"/>
          <w:szCs w:val="24"/>
        </w:rPr>
        <w:t>Consultatio</w:t>
      </w:r>
      <w:r w:rsidR="00512F60">
        <w:rPr>
          <w:rFonts w:ascii="Arial" w:hAnsi="Arial" w:cs="Times New Roman"/>
          <w:szCs w:val="24"/>
        </w:rPr>
        <w:t>n with the Medical D</w:t>
      </w:r>
      <w:r w:rsidRPr="00BE5F06">
        <w:rPr>
          <w:rFonts w:ascii="Arial" w:hAnsi="Arial" w:cs="Times New Roman"/>
          <w:szCs w:val="24"/>
        </w:rPr>
        <w:t xml:space="preserve">irector </w:t>
      </w:r>
      <w:r w:rsidR="00512F60">
        <w:rPr>
          <w:rFonts w:ascii="Arial" w:hAnsi="Arial" w:cs="Times New Roman"/>
          <w:szCs w:val="24"/>
        </w:rPr>
        <w:t xml:space="preserve">or Clinical Lead Provider </w:t>
      </w:r>
      <w:r w:rsidRPr="00BE5F06">
        <w:rPr>
          <w:rFonts w:ascii="Arial" w:hAnsi="Arial" w:cs="Times New Roman"/>
          <w:szCs w:val="24"/>
        </w:rPr>
        <w:t>is an acceptable step if the other two are not available</w:t>
      </w:r>
      <w:r>
        <w:rPr>
          <w:rFonts w:ascii="Arial" w:hAnsi="Arial" w:cs="Times New Roman"/>
          <w:szCs w:val="24"/>
        </w:rPr>
        <w:t>.</w:t>
      </w:r>
    </w:p>
    <w:p w14:paraId="113FA78A" w14:textId="77777777" w:rsidR="00BE5F06" w:rsidRPr="00512F60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512F60">
        <w:rPr>
          <w:rFonts w:ascii="Arial" w:hAnsi="Arial" w:cs="Times New Roman"/>
          <w:szCs w:val="24"/>
        </w:rPr>
        <w:t>Co-prescriptions</w:t>
      </w:r>
    </w:p>
    <w:p w14:paraId="520B1F91" w14:textId="14FF2735" w:rsidR="00512F60" w:rsidRPr="00BE5F06" w:rsidRDefault="00512F60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This </w:t>
      </w:r>
      <w:r w:rsidRPr="00BE5F06">
        <w:rPr>
          <w:rFonts w:ascii="Arial" w:hAnsi="Arial" w:cs="Times New Roman"/>
          <w:szCs w:val="24"/>
        </w:rPr>
        <w:t xml:space="preserve">applies to every </w:t>
      </w:r>
      <w:r w:rsidRPr="00223C14">
        <w:rPr>
          <w:rFonts w:ascii="Arial" w:hAnsi="Arial" w:cs="Times New Roman"/>
          <w:szCs w:val="24"/>
        </w:rPr>
        <w:t xml:space="preserve">chronic non-cancer/non-terminal </w:t>
      </w:r>
      <w:r>
        <w:rPr>
          <w:rFonts w:ascii="Arial" w:hAnsi="Arial" w:cs="Times New Roman"/>
          <w:szCs w:val="24"/>
        </w:rPr>
        <w:t>pain</w:t>
      </w:r>
      <w:r w:rsidRPr="00BE5F06">
        <w:rPr>
          <w:rFonts w:ascii="Arial" w:hAnsi="Arial" w:cs="Times New Roman"/>
          <w:szCs w:val="24"/>
        </w:rPr>
        <w:t xml:space="preserve"> patient regardless of how long they have been with </w:t>
      </w:r>
      <w:r w:rsidR="00C71BCC">
        <w:rPr>
          <w:rFonts w:ascii="Arial" w:hAnsi="Arial" w:cs="Times New Roman"/>
          <w:szCs w:val="24"/>
        </w:rPr>
        <w:t>Clinic</w:t>
      </w:r>
      <w:r w:rsidR="00C4125C">
        <w:rPr>
          <w:rFonts w:ascii="Arial" w:hAnsi="Arial" w:cs="Times New Roman"/>
          <w:szCs w:val="24"/>
        </w:rPr>
        <w:t xml:space="preserve"> Health Centers</w:t>
      </w:r>
      <w:r>
        <w:rPr>
          <w:rFonts w:ascii="Arial" w:hAnsi="Arial" w:cs="Times New Roman"/>
          <w:szCs w:val="24"/>
        </w:rPr>
        <w:t xml:space="preserve"> </w:t>
      </w:r>
      <w:r w:rsidRPr="00BE5F06">
        <w:rPr>
          <w:rFonts w:ascii="Arial" w:hAnsi="Arial" w:cs="Times New Roman"/>
          <w:szCs w:val="24"/>
        </w:rPr>
        <w:t xml:space="preserve">and </w:t>
      </w:r>
      <w:r>
        <w:rPr>
          <w:rFonts w:ascii="Arial" w:hAnsi="Arial" w:cs="Times New Roman"/>
          <w:szCs w:val="24"/>
        </w:rPr>
        <w:t xml:space="preserve">their </w:t>
      </w:r>
      <w:r w:rsidRPr="00BE5F06">
        <w:rPr>
          <w:rFonts w:ascii="Arial" w:hAnsi="Arial" w:cs="Times New Roman"/>
          <w:szCs w:val="24"/>
        </w:rPr>
        <w:t>provider</w:t>
      </w:r>
      <w:r>
        <w:rPr>
          <w:rFonts w:ascii="Arial" w:hAnsi="Arial" w:cs="Times New Roman"/>
          <w:szCs w:val="24"/>
        </w:rPr>
        <w:t>.</w:t>
      </w:r>
    </w:p>
    <w:p w14:paraId="0FC6CDA1" w14:textId="77777777" w:rsidR="00BE5F06" w:rsidRPr="00BE5F06" w:rsidRDefault="001E6BAF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 xml:space="preserve">As stated in the </w:t>
      </w:r>
      <w:r w:rsidR="00C4125C" w:rsidRPr="00C4125C">
        <w:rPr>
          <w:rFonts w:ascii="Arial" w:hAnsi="Arial" w:cs="Times New Roman"/>
          <w:szCs w:val="24"/>
        </w:rPr>
        <w:t>On</w:t>
      </w:r>
      <w:r w:rsidRPr="00C4125C">
        <w:rPr>
          <w:rFonts w:ascii="Arial" w:hAnsi="Arial" w:cs="Times New Roman"/>
          <w:szCs w:val="24"/>
        </w:rPr>
        <w:t>going Opioid Prescriptions for Patients with Chronic Non-Cancer/Non-Terminal Pain Policy</w:t>
      </w:r>
      <w:r>
        <w:rPr>
          <w:rFonts w:ascii="Arial" w:hAnsi="Arial" w:cs="Times New Roman"/>
          <w:i/>
          <w:szCs w:val="24"/>
        </w:rPr>
        <w:t>,</w:t>
      </w:r>
      <w:r w:rsidR="00BE5F06" w:rsidRPr="00BE5F06">
        <w:rPr>
          <w:rFonts w:ascii="Arial" w:hAnsi="Arial" w:cs="Times New Roman"/>
          <w:szCs w:val="24"/>
        </w:rPr>
        <w:t xml:space="preserve"> </w:t>
      </w:r>
      <w:r w:rsidR="00512F60" w:rsidRPr="00223C14">
        <w:rPr>
          <w:rFonts w:ascii="Arial" w:hAnsi="Arial" w:cs="Times New Roman"/>
          <w:szCs w:val="24"/>
        </w:rPr>
        <w:t xml:space="preserve">chronic non-cancer/non-terminal </w:t>
      </w:r>
      <w:r w:rsidR="00512F60">
        <w:rPr>
          <w:rFonts w:ascii="Arial" w:hAnsi="Arial" w:cs="Times New Roman"/>
          <w:szCs w:val="24"/>
        </w:rPr>
        <w:t>pain</w:t>
      </w:r>
      <w:r w:rsidR="00BE5F06" w:rsidRPr="00BE5F06">
        <w:rPr>
          <w:rFonts w:ascii="Arial" w:hAnsi="Arial" w:cs="Times New Roman"/>
          <w:szCs w:val="24"/>
        </w:rPr>
        <w:t xml:space="preserve"> patient</w:t>
      </w:r>
      <w:r>
        <w:rPr>
          <w:rFonts w:ascii="Arial" w:hAnsi="Arial" w:cs="Times New Roman"/>
          <w:szCs w:val="24"/>
        </w:rPr>
        <w:t>s</w:t>
      </w:r>
      <w:r w:rsidR="00BE5F06" w:rsidRPr="00BE5F06">
        <w:rPr>
          <w:rFonts w:ascii="Arial" w:hAnsi="Arial" w:cs="Times New Roman"/>
          <w:szCs w:val="24"/>
        </w:rPr>
        <w:t xml:space="preserve"> who is on chronic </w:t>
      </w:r>
      <w:r w:rsidR="00B12B69">
        <w:rPr>
          <w:rFonts w:ascii="Arial" w:hAnsi="Arial" w:cs="Times New Roman"/>
          <w:szCs w:val="24"/>
        </w:rPr>
        <w:t>opioids</w:t>
      </w:r>
      <w:r w:rsidR="00BE5F06" w:rsidRPr="00BE5F06">
        <w:rPr>
          <w:rFonts w:ascii="Arial" w:hAnsi="Arial" w:cs="Times New Roman"/>
          <w:szCs w:val="24"/>
        </w:rPr>
        <w:t xml:space="preserve"> </w:t>
      </w:r>
      <w:r w:rsidR="00161E5B">
        <w:rPr>
          <w:rFonts w:ascii="Arial" w:hAnsi="Arial" w:cs="Times New Roman"/>
          <w:szCs w:val="24"/>
        </w:rPr>
        <w:t>should</w:t>
      </w:r>
      <w:r w:rsidR="00BE5F06" w:rsidRPr="00BE5F06">
        <w:rPr>
          <w:rFonts w:ascii="Arial" w:hAnsi="Arial" w:cs="Times New Roman"/>
          <w:szCs w:val="24"/>
        </w:rPr>
        <w:t xml:space="preserve"> not be prescribed </w:t>
      </w:r>
      <w:r>
        <w:rPr>
          <w:rFonts w:ascii="Arial" w:hAnsi="Arial" w:cs="Times New Roman"/>
          <w:szCs w:val="24"/>
        </w:rPr>
        <w:t xml:space="preserve">chronic </w:t>
      </w:r>
      <w:r w:rsidR="00B12B69">
        <w:rPr>
          <w:rFonts w:ascii="Arial" w:hAnsi="Arial" w:cs="Times New Roman"/>
          <w:szCs w:val="24"/>
        </w:rPr>
        <w:t>benzodiazepines.</w:t>
      </w:r>
      <w:r w:rsidR="00BE5F06" w:rsidRPr="00BE5F06">
        <w:rPr>
          <w:rFonts w:ascii="Arial" w:hAnsi="Arial" w:cs="Times New Roman"/>
          <w:szCs w:val="24"/>
        </w:rPr>
        <w:t xml:space="preserve"> </w:t>
      </w:r>
    </w:p>
    <w:p w14:paraId="58CB45B2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 xml:space="preserve">If co-prescribing </w:t>
      </w:r>
      <w:r w:rsidRPr="001E6BAF">
        <w:rPr>
          <w:rFonts w:ascii="Arial" w:hAnsi="Arial" w:cs="Times New Roman"/>
          <w:szCs w:val="24"/>
        </w:rPr>
        <w:t>is</w:t>
      </w:r>
      <w:r w:rsidRPr="00BE5F06">
        <w:rPr>
          <w:rFonts w:ascii="Arial" w:hAnsi="Arial" w:cs="Times New Roman"/>
          <w:szCs w:val="24"/>
        </w:rPr>
        <w:t xml:space="preserve"> occurring, two paths may be followed</w:t>
      </w:r>
      <w:r w:rsidR="001E6BAF">
        <w:rPr>
          <w:rFonts w:ascii="Arial" w:hAnsi="Arial" w:cs="Times New Roman"/>
          <w:szCs w:val="24"/>
        </w:rPr>
        <w:t>:</w:t>
      </w:r>
    </w:p>
    <w:p w14:paraId="093D9DF3" w14:textId="77777777" w:rsidR="001E6BAF" w:rsidRPr="001E6BAF" w:rsidRDefault="001E6BAF" w:rsidP="00DE7677">
      <w:pPr>
        <w:pStyle w:val="ListParagraph"/>
        <w:numPr>
          <w:ilvl w:val="3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Include</w:t>
      </w:r>
      <w:r>
        <w:rPr>
          <w:rFonts w:ascii="Arial" w:hAnsi="Arial" w:cs="Times New Roman"/>
          <w:szCs w:val="24"/>
        </w:rPr>
        <w:t>,</w:t>
      </w:r>
      <w:r w:rsidRPr="00BE5F06">
        <w:rPr>
          <w:rFonts w:ascii="Arial" w:hAnsi="Arial" w:cs="Times New Roman"/>
          <w:szCs w:val="24"/>
        </w:rPr>
        <w:t xml:space="preserve"> in </w:t>
      </w:r>
      <w:r w:rsidRPr="00DC1123">
        <w:rPr>
          <w:rFonts w:ascii="Arial" w:hAnsi="Arial" w:cs="Times New Roman"/>
          <w:szCs w:val="24"/>
        </w:rPr>
        <w:t>every</w:t>
      </w:r>
      <w:r w:rsidRPr="00BE5F06">
        <w:rPr>
          <w:rFonts w:ascii="Arial" w:hAnsi="Arial" w:cs="Times New Roman"/>
          <w:szCs w:val="24"/>
        </w:rPr>
        <w:t xml:space="preserve"> progress note the plan for taper </w:t>
      </w:r>
      <w:r>
        <w:rPr>
          <w:rFonts w:ascii="Arial" w:hAnsi="Arial" w:cs="Times New Roman"/>
          <w:szCs w:val="24"/>
        </w:rPr>
        <w:t>with</w:t>
      </w:r>
      <w:r w:rsidRPr="00BE5F06">
        <w:rPr>
          <w:rFonts w:ascii="Arial" w:hAnsi="Arial" w:cs="Times New Roman"/>
          <w:szCs w:val="24"/>
        </w:rPr>
        <w:t xml:space="preserve"> time</w:t>
      </w:r>
      <w:r>
        <w:rPr>
          <w:rFonts w:ascii="Arial" w:hAnsi="Arial" w:cs="Times New Roman"/>
          <w:szCs w:val="24"/>
        </w:rPr>
        <w:t xml:space="preserve"> frame.</w:t>
      </w:r>
    </w:p>
    <w:p w14:paraId="1BE1366A" w14:textId="77777777" w:rsidR="00BE5F06" w:rsidRPr="00BE5F06" w:rsidRDefault="00BE5F06" w:rsidP="00DE7677">
      <w:pPr>
        <w:pStyle w:val="ListParagraph"/>
        <w:numPr>
          <w:ilvl w:val="3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>If taper is not in the plan, documentation of a qualifie</w:t>
      </w:r>
      <w:r w:rsidR="00C82EFE">
        <w:rPr>
          <w:rFonts w:ascii="Arial" w:hAnsi="Arial" w:cs="Times New Roman"/>
          <w:szCs w:val="24"/>
        </w:rPr>
        <w:t xml:space="preserve">d review is required. </w:t>
      </w:r>
      <w:r w:rsidRPr="00BE5F06">
        <w:rPr>
          <w:rFonts w:ascii="Arial" w:hAnsi="Arial" w:cs="Times New Roman"/>
          <w:szCs w:val="24"/>
        </w:rPr>
        <w:t>This includes, but is not limited to</w:t>
      </w:r>
      <w:r w:rsidR="00C82EFE">
        <w:rPr>
          <w:rFonts w:ascii="Arial" w:hAnsi="Arial" w:cs="Times New Roman"/>
          <w:szCs w:val="24"/>
        </w:rPr>
        <w:t>, a psychiatric consultation or</w:t>
      </w:r>
      <w:r w:rsidRPr="00BE5F06">
        <w:rPr>
          <w:rFonts w:ascii="Arial" w:hAnsi="Arial" w:cs="Times New Roman"/>
          <w:szCs w:val="24"/>
        </w:rPr>
        <w:t xml:space="preserve"> the Opioid Oversight Committee</w:t>
      </w:r>
      <w:r w:rsidR="00C82EFE">
        <w:rPr>
          <w:rFonts w:ascii="Arial" w:hAnsi="Arial" w:cs="Times New Roman"/>
          <w:szCs w:val="24"/>
        </w:rPr>
        <w:t>. Consultation with the Medical D</w:t>
      </w:r>
      <w:r w:rsidRPr="00BE5F06">
        <w:rPr>
          <w:rFonts w:ascii="Arial" w:hAnsi="Arial" w:cs="Times New Roman"/>
          <w:szCs w:val="24"/>
        </w:rPr>
        <w:t xml:space="preserve">irector </w:t>
      </w:r>
      <w:r w:rsidR="00C82EFE">
        <w:rPr>
          <w:rFonts w:ascii="Arial" w:hAnsi="Arial" w:cs="Times New Roman"/>
          <w:szCs w:val="24"/>
        </w:rPr>
        <w:t xml:space="preserve">or Clinical Lead Provider </w:t>
      </w:r>
      <w:r w:rsidRPr="00BE5F06">
        <w:rPr>
          <w:rFonts w:ascii="Arial" w:hAnsi="Arial" w:cs="Times New Roman"/>
          <w:szCs w:val="24"/>
        </w:rPr>
        <w:t xml:space="preserve">is an acceptable step if the other two are not available. </w:t>
      </w:r>
    </w:p>
    <w:p w14:paraId="29F150C2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t xml:space="preserve">If concurrent </w:t>
      </w:r>
      <w:r w:rsidR="00C82EFE">
        <w:rPr>
          <w:rFonts w:ascii="Arial" w:hAnsi="Arial" w:cs="Times New Roman"/>
          <w:szCs w:val="24"/>
        </w:rPr>
        <w:t>tetrahydrocannabinol</w:t>
      </w:r>
      <w:r w:rsidRPr="00BE5F06">
        <w:rPr>
          <w:rFonts w:ascii="Arial" w:hAnsi="Arial" w:cs="Times New Roman"/>
          <w:szCs w:val="24"/>
        </w:rPr>
        <w:t xml:space="preserve"> use is documented on </w:t>
      </w:r>
      <w:r w:rsidR="00C82EFE">
        <w:rPr>
          <w:rFonts w:ascii="Arial" w:hAnsi="Arial" w:cs="Times New Roman"/>
          <w:szCs w:val="24"/>
        </w:rPr>
        <w:t>urine drug screen</w:t>
      </w:r>
      <w:r w:rsidRPr="00BE5F06">
        <w:rPr>
          <w:rFonts w:ascii="Arial" w:hAnsi="Arial" w:cs="Times New Roman"/>
          <w:szCs w:val="24"/>
        </w:rPr>
        <w:t xml:space="preserve"> or patient report, a discussion of risk and/or cessation efforts needs</w:t>
      </w:r>
      <w:r w:rsidR="00C82EFE">
        <w:rPr>
          <w:rFonts w:ascii="Arial" w:hAnsi="Arial" w:cs="Times New Roman"/>
          <w:szCs w:val="24"/>
        </w:rPr>
        <w:t xml:space="preserve"> to be documented in the chart. </w:t>
      </w:r>
    </w:p>
    <w:p w14:paraId="29B3EA8F" w14:textId="77777777" w:rsidR="00BE5F06" w:rsidRPr="00161E5B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 w:rsidRPr="00BE5F06">
        <w:rPr>
          <w:rFonts w:ascii="Arial" w:hAnsi="Arial" w:cs="Times New Roman"/>
          <w:szCs w:val="24"/>
        </w:rPr>
        <w:t>Avoid concomitant use of alcohol and</w:t>
      </w:r>
      <w:r>
        <w:rPr>
          <w:rFonts w:ascii="Arial" w:hAnsi="Arial" w:cs="Times New Roman"/>
          <w:szCs w:val="24"/>
        </w:rPr>
        <w:t xml:space="preserve"> opioids.</w:t>
      </w:r>
    </w:p>
    <w:p w14:paraId="763A3FBF" w14:textId="6E82854B" w:rsidR="00161E5B" w:rsidRPr="00332AF9" w:rsidRDefault="0014352B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Clinic</w:t>
      </w:r>
      <w:r w:rsidR="00884F38">
        <w:rPr>
          <w:rFonts w:ascii="Arial" w:hAnsi="Arial" w:cs="Times New Roman"/>
          <w:szCs w:val="24"/>
        </w:rPr>
        <w:t xml:space="preserve"> Health Centers</w:t>
      </w:r>
      <w:r w:rsidR="00332AF9">
        <w:rPr>
          <w:rFonts w:ascii="Arial" w:hAnsi="Arial" w:cs="Times New Roman"/>
          <w:szCs w:val="24"/>
        </w:rPr>
        <w:t xml:space="preserve"> does not prohibit a patient from being prescribed opiates and stimulants. However, this is </w:t>
      </w:r>
      <w:r w:rsidR="00332AF9" w:rsidRPr="00332AF9">
        <w:rPr>
          <w:rFonts w:ascii="Arial" w:hAnsi="Arial" w:cs="Times New Roman"/>
          <w:b/>
          <w:szCs w:val="24"/>
        </w:rPr>
        <w:t>strongly</w:t>
      </w:r>
      <w:r w:rsidR="00332AF9">
        <w:rPr>
          <w:rFonts w:ascii="Arial" w:hAnsi="Arial" w:cs="Times New Roman"/>
          <w:szCs w:val="24"/>
        </w:rPr>
        <w:t xml:space="preserve"> discouraged. If this is occurring, a mental health assessment, justification based on functionality, and a risk-benefit analysis </w:t>
      </w:r>
      <w:r w:rsidR="00332AF9">
        <w:rPr>
          <w:rFonts w:ascii="Arial" w:hAnsi="Arial" w:cs="Times New Roman"/>
          <w:b/>
          <w:szCs w:val="24"/>
        </w:rPr>
        <w:t xml:space="preserve">must </w:t>
      </w:r>
      <w:r w:rsidR="00332AF9">
        <w:rPr>
          <w:rFonts w:ascii="Arial" w:hAnsi="Arial" w:cs="Times New Roman"/>
          <w:szCs w:val="24"/>
        </w:rPr>
        <w:t xml:space="preserve">be documented. </w:t>
      </w:r>
      <w:r w:rsidR="00332AF9" w:rsidRPr="00332AF9">
        <w:rPr>
          <w:rFonts w:ascii="Arial" w:hAnsi="Arial" w:cs="Times New Roman"/>
          <w:szCs w:val="24"/>
        </w:rPr>
        <w:t>Non</w:t>
      </w:r>
      <w:r w:rsidR="00332AF9">
        <w:rPr>
          <w:rFonts w:ascii="Arial" w:hAnsi="Arial" w:cs="Times New Roman"/>
          <w:szCs w:val="24"/>
        </w:rPr>
        <w:t>-stimulant medications used to manage ADHD should be utilized for any existing COT patient.</w:t>
      </w:r>
    </w:p>
    <w:p w14:paraId="33AC6D63" w14:textId="77777777" w:rsidR="00BE5F06" w:rsidRPr="00C82EFE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C82EFE">
        <w:rPr>
          <w:rFonts w:ascii="Arial" w:hAnsi="Arial" w:cs="Times New Roman"/>
          <w:szCs w:val="24"/>
        </w:rPr>
        <w:t>Prescribing Restrictions</w:t>
      </w:r>
    </w:p>
    <w:p w14:paraId="78ED3120" w14:textId="77777777" w:rsidR="00BE5F06" w:rsidRPr="00BE5F06" w:rsidRDefault="008977D4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>Carisoprodol (Soma)</w:t>
      </w:r>
      <w:r w:rsidR="00BE5F06" w:rsidRPr="00BE5F06">
        <w:rPr>
          <w:rFonts w:ascii="Arial" w:hAnsi="Arial" w:cs="Times New Roman"/>
          <w:szCs w:val="24"/>
        </w:rPr>
        <w:t xml:space="preserve"> is not to be prescribed to patients in any cases unless they meet hospice criteria</w:t>
      </w:r>
      <w:r w:rsidR="00C82EFE">
        <w:rPr>
          <w:rFonts w:ascii="Arial" w:hAnsi="Arial" w:cs="Times New Roman"/>
          <w:szCs w:val="24"/>
        </w:rPr>
        <w:t>.</w:t>
      </w:r>
    </w:p>
    <w:p w14:paraId="3E828160" w14:textId="71503E4A" w:rsidR="00BE5F06" w:rsidRPr="00BE5F06" w:rsidRDefault="00C82EFE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>Patients are not</w:t>
      </w:r>
      <w:r w:rsidR="00BE5F06" w:rsidRPr="00BE5F06">
        <w:rPr>
          <w:rFonts w:ascii="Arial" w:hAnsi="Arial" w:cs="Times New Roman"/>
          <w:szCs w:val="24"/>
        </w:rPr>
        <w:t xml:space="preserve"> to be started on methadone for pain control. Any new patient who establishes care with </w:t>
      </w:r>
      <w:r w:rsidR="0014352B">
        <w:rPr>
          <w:rFonts w:ascii="Arial" w:hAnsi="Arial" w:cs="Times New Roman"/>
          <w:szCs w:val="24"/>
        </w:rPr>
        <w:t>Clinic</w:t>
      </w:r>
      <w:r>
        <w:rPr>
          <w:rFonts w:ascii="Arial" w:hAnsi="Arial" w:cs="Times New Roman"/>
          <w:szCs w:val="24"/>
        </w:rPr>
        <w:t xml:space="preserve"> Health Centers </w:t>
      </w:r>
      <w:r w:rsidR="00BE5F06" w:rsidRPr="00BE5F06">
        <w:rPr>
          <w:rFonts w:ascii="Arial" w:hAnsi="Arial" w:cs="Times New Roman"/>
          <w:szCs w:val="24"/>
        </w:rPr>
        <w:t xml:space="preserve">and is currently taking methadone, it is provider discretion for assuming the management of it. Any patient who is accepted under these circumstances </w:t>
      </w:r>
      <w:r w:rsidR="00BE5F06" w:rsidRPr="00C82EFE">
        <w:rPr>
          <w:rFonts w:ascii="Arial" w:hAnsi="Arial" w:cs="Times New Roman"/>
          <w:szCs w:val="24"/>
        </w:rPr>
        <w:t>must</w:t>
      </w:r>
      <w:r w:rsidR="00BE5F06" w:rsidRPr="00BE5F06">
        <w:rPr>
          <w:rFonts w:ascii="Arial" w:hAnsi="Arial" w:cs="Times New Roman"/>
          <w:szCs w:val="24"/>
        </w:rPr>
        <w:t xml:space="preserve"> have a plan to be weaned off of methadone, though the taper can be quite long based on best evidence (2016 CDC guidelines). Furthermore, the patie</w:t>
      </w:r>
      <w:r>
        <w:rPr>
          <w:rFonts w:ascii="Arial" w:hAnsi="Arial" w:cs="Times New Roman"/>
          <w:szCs w:val="24"/>
        </w:rPr>
        <w:t>nt must commit to this prior to</w:t>
      </w:r>
      <w:r w:rsidR="00BE5F06" w:rsidRPr="00BE5F06">
        <w:rPr>
          <w:rFonts w:ascii="Arial" w:hAnsi="Arial" w:cs="Times New Roman"/>
          <w:szCs w:val="24"/>
        </w:rPr>
        <w:t xml:space="preserve"> assuming care.</w:t>
      </w:r>
    </w:p>
    <w:p w14:paraId="2FAA1751" w14:textId="77777777" w:rsidR="00BE5F06" w:rsidRPr="00C82EFE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C82EFE">
        <w:rPr>
          <w:rFonts w:ascii="Arial" w:hAnsi="Arial" w:cs="Times New Roman"/>
          <w:szCs w:val="24"/>
        </w:rPr>
        <w:t>When problems appear</w:t>
      </w:r>
    </w:p>
    <w:p w14:paraId="2B4D574B" w14:textId="77777777" w:rsidR="00BE5F06" w:rsidRPr="00BE5F06" w:rsidRDefault="00BE5F06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</w:rPr>
      </w:pPr>
      <w:r w:rsidRPr="00BE5F06">
        <w:rPr>
          <w:rFonts w:ascii="Arial" w:hAnsi="Arial" w:cs="Times New Roman"/>
          <w:szCs w:val="24"/>
        </w:rPr>
        <w:lastRenderedPageBreak/>
        <w:t xml:space="preserve">Patients who develop an opioid use disorder </w:t>
      </w:r>
      <w:r w:rsidR="00B12B69">
        <w:rPr>
          <w:rFonts w:ascii="Arial" w:hAnsi="Arial" w:cs="Times New Roman"/>
          <w:szCs w:val="24"/>
        </w:rPr>
        <w:t xml:space="preserve">according to DSM-5 criteria </w:t>
      </w:r>
      <w:r w:rsidRPr="00BE5F06">
        <w:rPr>
          <w:rFonts w:ascii="Arial" w:hAnsi="Arial" w:cs="Times New Roman"/>
          <w:szCs w:val="24"/>
        </w:rPr>
        <w:t xml:space="preserve">should be </w:t>
      </w:r>
      <w:r w:rsidR="00DE7677">
        <w:rPr>
          <w:rFonts w:ascii="Arial" w:hAnsi="Arial" w:cs="Times New Roman"/>
          <w:szCs w:val="24"/>
        </w:rPr>
        <w:t>referred to a behavioral health clinician for assessment and possible internal/external consult for medication-assisted treatment.</w:t>
      </w:r>
    </w:p>
    <w:p w14:paraId="511A9C0E" w14:textId="77777777" w:rsidR="00BE5F06" w:rsidRPr="00DE7677" w:rsidRDefault="00B12B69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161E5B">
        <w:rPr>
          <w:rFonts w:ascii="Arial" w:hAnsi="Arial" w:cs="Times New Roman"/>
          <w:szCs w:val="24"/>
        </w:rPr>
        <w:t>N</w:t>
      </w:r>
      <w:r w:rsidR="00BE5F06" w:rsidRPr="00161E5B">
        <w:rPr>
          <w:rFonts w:ascii="Arial" w:hAnsi="Arial" w:cs="Times New Roman"/>
          <w:szCs w:val="24"/>
        </w:rPr>
        <w:t xml:space="preserve">aloxone rescue kit </w:t>
      </w:r>
      <w:r w:rsidRPr="00161E5B">
        <w:rPr>
          <w:rFonts w:ascii="Arial" w:hAnsi="Arial" w:cs="Times New Roman"/>
          <w:szCs w:val="24"/>
        </w:rPr>
        <w:t>should be prescribed</w:t>
      </w:r>
      <w:r>
        <w:rPr>
          <w:rFonts w:ascii="Arial" w:hAnsi="Arial" w:cs="Times New Roman"/>
          <w:szCs w:val="24"/>
        </w:rPr>
        <w:t xml:space="preserve"> to</w:t>
      </w:r>
      <w:r w:rsidR="00BE5F06" w:rsidRPr="00DE7677">
        <w:rPr>
          <w:rFonts w:ascii="Arial" w:hAnsi="Arial" w:cs="Times New Roman"/>
          <w:szCs w:val="24"/>
        </w:rPr>
        <w:t xml:space="preserve"> high-risk individuals (MED&gt;</w:t>
      </w:r>
      <w:r w:rsidR="00DE7677">
        <w:rPr>
          <w:rFonts w:ascii="Arial" w:hAnsi="Arial" w:cs="Times New Roman"/>
          <w:szCs w:val="24"/>
        </w:rPr>
        <w:t>50, co-Rx with b</w:t>
      </w:r>
      <w:r w:rsidR="00BE5F06" w:rsidRPr="00DE7677">
        <w:rPr>
          <w:rFonts w:ascii="Arial" w:hAnsi="Arial" w:cs="Times New Roman"/>
          <w:szCs w:val="24"/>
        </w:rPr>
        <w:t>enzodiazepines, any patient with co-morbid conditions).</w:t>
      </w:r>
    </w:p>
    <w:p w14:paraId="04E1ADB1" w14:textId="77777777" w:rsidR="00BE5F06" w:rsidRPr="00DE7677" w:rsidRDefault="00BE5F06" w:rsidP="00DE7677">
      <w:pPr>
        <w:pStyle w:val="ListParagraph"/>
        <w:numPr>
          <w:ilvl w:val="1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</w:rPr>
      </w:pPr>
      <w:r w:rsidRPr="00DE7677">
        <w:rPr>
          <w:rFonts w:ascii="Arial" w:hAnsi="Arial" w:cs="Times New Roman"/>
          <w:szCs w:val="24"/>
        </w:rPr>
        <w:t xml:space="preserve">When a provider is covering controlled substance refills for a provider who is out of the office, it is expected that a basic review of a patient’s chart is performed. </w:t>
      </w:r>
      <w:r w:rsidR="00DE7677">
        <w:rPr>
          <w:rFonts w:ascii="Arial" w:hAnsi="Arial" w:cs="Times New Roman"/>
          <w:szCs w:val="24"/>
        </w:rPr>
        <w:t>It is preferred that</w:t>
      </w:r>
      <w:r w:rsidRPr="00DE7677">
        <w:rPr>
          <w:rFonts w:ascii="Arial" w:hAnsi="Arial" w:cs="Times New Roman"/>
          <w:szCs w:val="24"/>
        </w:rPr>
        <w:t xml:space="preserve"> providers include any policy compliance issues via interim note in </w:t>
      </w:r>
      <w:r w:rsidR="00DE7677">
        <w:rPr>
          <w:rFonts w:ascii="Arial" w:hAnsi="Arial" w:cs="Times New Roman"/>
          <w:szCs w:val="24"/>
        </w:rPr>
        <w:t>EPIC</w:t>
      </w:r>
      <w:r w:rsidRPr="00DE7677">
        <w:rPr>
          <w:rFonts w:ascii="Arial" w:hAnsi="Arial" w:cs="Times New Roman"/>
          <w:szCs w:val="24"/>
        </w:rPr>
        <w:t xml:space="preserve"> to aid the </w:t>
      </w:r>
      <w:r w:rsidR="00DE7677">
        <w:rPr>
          <w:rFonts w:ascii="Arial" w:hAnsi="Arial" w:cs="Times New Roman"/>
          <w:szCs w:val="24"/>
        </w:rPr>
        <w:t>primary care provider</w:t>
      </w:r>
      <w:r w:rsidRPr="00DE7677">
        <w:rPr>
          <w:rFonts w:ascii="Arial" w:hAnsi="Arial" w:cs="Times New Roman"/>
          <w:szCs w:val="24"/>
        </w:rPr>
        <w:t xml:space="preserve"> in management. If a provider feels a patient safety issue exists, consultation with a </w:t>
      </w:r>
      <w:r w:rsidR="00DE7677">
        <w:rPr>
          <w:rFonts w:ascii="Arial" w:hAnsi="Arial" w:cs="Times New Roman"/>
          <w:szCs w:val="24"/>
        </w:rPr>
        <w:t>behavioral health clinician and/or the Medical D</w:t>
      </w:r>
      <w:r w:rsidRPr="00DE7677">
        <w:rPr>
          <w:rFonts w:ascii="Arial" w:hAnsi="Arial" w:cs="Times New Roman"/>
          <w:szCs w:val="24"/>
        </w:rPr>
        <w:t>irector</w:t>
      </w:r>
      <w:r w:rsidR="00DE7677">
        <w:rPr>
          <w:rFonts w:ascii="Arial" w:hAnsi="Arial" w:cs="Times New Roman"/>
          <w:szCs w:val="24"/>
        </w:rPr>
        <w:t xml:space="preserve"> or Clinical Lead Provider</w:t>
      </w:r>
      <w:r w:rsidRPr="00DE7677">
        <w:rPr>
          <w:rFonts w:ascii="Arial" w:hAnsi="Arial" w:cs="Times New Roman"/>
          <w:szCs w:val="24"/>
        </w:rPr>
        <w:t xml:space="preserve"> is appropriate.</w:t>
      </w:r>
    </w:p>
    <w:p w14:paraId="60D1024A" w14:textId="77777777" w:rsidR="00B12B69" w:rsidRPr="00BE5F06" w:rsidRDefault="00B12B69" w:rsidP="00B12B69">
      <w:pPr>
        <w:pStyle w:val="ListParagraph"/>
        <w:numPr>
          <w:ilvl w:val="1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 xml:space="preserve">Requests to change providers will not be honored </w:t>
      </w:r>
      <w:r w:rsidRPr="00BE5F06">
        <w:rPr>
          <w:rFonts w:ascii="Arial" w:hAnsi="Arial" w:cs="Times New Roman"/>
          <w:szCs w:val="24"/>
        </w:rPr>
        <w:t>if the reason is for opiate or benzodiazepine prescribing practices</w:t>
      </w:r>
    </w:p>
    <w:p w14:paraId="4D51CA6A" w14:textId="77777777" w:rsidR="00521CFB" w:rsidRDefault="00521CFB" w:rsidP="00223C14">
      <w:pPr>
        <w:pStyle w:val="ListParagraph"/>
        <w:numPr>
          <w:ilvl w:val="0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b/>
          <w:szCs w:val="24"/>
          <w:u w:val="single"/>
        </w:rPr>
        <w:t>SUPPORTIVE INFORMATION</w:t>
      </w:r>
    </w:p>
    <w:p w14:paraId="55CF362C" w14:textId="77777777" w:rsidR="00521CFB" w:rsidRPr="00B4772A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 xml:space="preserve">Accompanying </w:t>
      </w:r>
      <w:r w:rsidR="00AD2A62">
        <w:rPr>
          <w:rFonts w:ascii="Arial" w:hAnsi="Arial" w:cs="Times New Roman"/>
          <w:szCs w:val="24"/>
        </w:rPr>
        <w:t>Policy</w:t>
      </w:r>
      <w:r>
        <w:rPr>
          <w:rFonts w:ascii="Arial" w:hAnsi="Arial" w:cs="Times New Roman"/>
          <w:szCs w:val="24"/>
        </w:rPr>
        <w:t>:</w:t>
      </w:r>
    </w:p>
    <w:p w14:paraId="095E24E2" w14:textId="6430ED93" w:rsidR="00B4772A" w:rsidRPr="00B04CCC" w:rsidRDefault="0014352B" w:rsidP="00223C1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Clinic</w:t>
      </w:r>
      <w:r w:rsidR="00AD2A62">
        <w:rPr>
          <w:rFonts w:ascii="Arial" w:hAnsi="Arial" w:cs="Times New Roman"/>
          <w:szCs w:val="24"/>
        </w:rPr>
        <w:t xml:space="preserve"> </w:t>
      </w:r>
      <w:r w:rsidR="00C4125C">
        <w:rPr>
          <w:rFonts w:ascii="Arial" w:hAnsi="Arial" w:cs="Times New Roman"/>
          <w:szCs w:val="24"/>
        </w:rPr>
        <w:t>Health Centers On</w:t>
      </w:r>
      <w:r w:rsidR="00AD2A62">
        <w:rPr>
          <w:rFonts w:ascii="Arial" w:hAnsi="Arial" w:cs="Times New Roman"/>
          <w:szCs w:val="24"/>
        </w:rPr>
        <w:t>going Opioid Prescriptions for Patients with Chronic Non-Cancer/Non-Terminal Pain Policy</w:t>
      </w:r>
    </w:p>
    <w:p w14:paraId="7BB99EFB" w14:textId="77777777" w:rsidR="00521CFB" w:rsidRPr="001023A4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Related Links/Information</w:t>
      </w:r>
      <w:r w:rsidR="00DE7677">
        <w:rPr>
          <w:rFonts w:ascii="Arial" w:hAnsi="Arial" w:cs="Times New Roman"/>
          <w:szCs w:val="24"/>
        </w:rPr>
        <w:t>/Forms/Policies</w:t>
      </w:r>
      <w:r>
        <w:rPr>
          <w:rFonts w:ascii="Arial" w:hAnsi="Arial" w:cs="Times New Roman"/>
          <w:szCs w:val="24"/>
        </w:rPr>
        <w:t>:</w:t>
      </w:r>
    </w:p>
    <w:p w14:paraId="1B14FBD2" w14:textId="40ADE99A" w:rsidR="001023A4" w:rsidRPr="00AD2A62" w:rsidRDefault="0014352B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Clinic</w:t>
      </w:r>
      <w:r w:rsidR="00AD2A62">
        <w:rPr>
          <w:rFonts w:ascii="Arial" w:hAnsi="Arial" w:cs="Times New Roman"/>
          <w:szCs w:val="24"/>
        </w:rPr>
        <w:t xml:space="preserve"> Health Centers </w:t>
      </w:r>
      <w:r w:rsidR="001E7016">
        <w:rPr>
          <w:rFonts w:ascii="Arial" w:hAnsi="Arial" w:cs="Times New Roman"/>
          <w:szCs w:val="24"/>
        </w:rPr>
        <w:t>Controlled Substance Agreement for Controlled Substance and</w:t>
      </w:r>
      <w:r w:rsidR="001023A4">
        <w:rPr>
          <w:rFonts w:ascii="Arial" w:hAnsi="Arial" w:cs="Times New Roman"/>
          <w:szCs w:val="24"/>
        </w:rPr>
        <w:t xml:space="preserve"> Other Medications Policy</w:t>
      </w:r>
    </w:p>
    <w:p w14:paraId="0F0D6BDA" w14:textId="77777777" w:rsidR="00AD2A62" w:rsidRPr="00223C14" w:rsidRDefault="00AD2A62" w:rsidP="00DE7677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OAR 847-015-0030</w:t>
      </w:r>
    </w:p>
    <w:p w14:paraId="10EF4564" w14:textId="77777777" w:rsidR="00521CFB" w:rsidRPr="00B4772A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Policy Written by:</w:t>
      </w:r>
    </w:p>
    <w:p w14:paraId="4645D3D6" w14:textId="77777777" w:rsidR="00DE7677" w:rsidRPr="00DE7677" w:rsidRDefault="00DE7677" w:rsidP="00223C1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Policy Analyst</w:t>
      </w:r>
    </w:p>
    <w:p w14:paraId="7FDC8FA8" w14:textId="77777777" w:rsidR="00B4772A" w:rsidRPr="009C68EE" w:rsidRDefault="00BE5F06" w:rsidP="00223C1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Medical Director</w:t>
      </w:r>
    </w:p>
    <w:p w14:paraId="4B8014D8" w14:textId="77777777" w:rsidR="00521CFB" w:rsidRPr="00B4772A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Reviewed by:</w:t>
      </w:r>
    </w:p>
    <w:p w14:paraId="0BAC8334" w14:textId="77777777" w:rsidR="00B4772A" w:rsidRPr="004F0260" w:rsidRDefault="00BE5F06" w:rsidP="00223C1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Medical Director</w:t>
      </w:r>
    </w:p>
    <w:p w14:paraId="74322878" w14:textId="5CCB8B52" w:rsidR="004F0260" w:rsidRPr="009C68EE" w:rsidRDefault="004F0260" w:rsidP="00223C14">
      <w:pPr>
        <w:pStyle w:val="ListParagraph"/>
        <w:numPr>
          <w:ilvl w:val="2"/>
          <w:numId w:val="9"/>
        </w:numPr>
        <w:tabs>
          <w:tab w:val="left" w:pos="540"/>
        </w:tabs>
        <w:spacing w:before="120" w:after="120" w:line="240" w:lineRule="auto"/>
        <w:contextualSpacing w:val="0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</w:rPr>
        <w:t>Psychiatry Director</w:t>
      </w:r>
    </w:p>
    <w:p w14:paraId="434787D8" w14:textId="77777777" w:rsidR="00B4772A" w:rsidRPr="00B4772A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 xml:space="preserve">Review Cycle: </w:t>
      </w:r>
      <w:r w:rsidR="00B4772A" w:rsidRPr="00B4772A">
        <w:rPr>
          <w:rFonts w:ascii="Arial" w:hAnsi="Arial" w:cs="Times New Roman"/>
          <w:szCs w:val="24"/>
        </w:rPr>
        <w:t xml:space="preserve">Annual </w:t>
      </w:r>
    </w:p>
    <w:p w14:paraId="2A3333E0" w14:textId="77777777" w:rsidR="00521CFB" w:rsidRPr="004F0260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To be read by:</w:t>
      </w:r>
    </w:p>
    <w:p w14:paraId="0959DA04" w14:textId="77777777" w:rsidR="004F0260" w:rsidRPr="00B4772A" w:rsidRDefault="004F0260" w:rsidP="004F0260">
      <w:pPr>
        <w:pStyle w:val="ListParagraph"/>
        <w:numPr>
          <w:ilvl w:val="2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Prescribers</w:t>
      </w:r>
    </w:p>
    <w:p w14:paraId="570D836C" w14:textId="77777777" w:rsidR="00521CFB" w:rsidRPr="00B04CCC" w:rsidRDefault="00521CFB" w:rsidP="00223C14">
      <w:pPr>
        <w:pStyle w:val="ListParagraph"/>
        <w:numPr>
          <w:ilvl w:val="1"/>
          <w:numId w:val="9"/>
        </w:numPr>
        <w:tabs>
          <w:tab w:val="left" w:pos="540"/>
        </w:tabs>
        <w:spacing w:before="240" w:after="12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Inquiries</w:t>
      </w:r>
      <w:r w:rsidR="00BE5F06">
        <w:rPr>
          <w:rFonts w:ascii="Arial" w:hAnsi="Arial" w:cs="Times New Roman"/>
          <w:szCs w:val="24"/>
        </w:rPr>
        <w:t>: Medical Director</w:t>
      </w:r>
    </w:p>
    <w:p w14:paraId="3C77BA60" w14:textId="77777777" w:rsidR="001B3FA0" w:rsidRPr="00DE7677" w:rsidRDefault="00521CFB" w:rsidP="00DE7677">
      <w:pPr>
        <w:pStyle w:val="ListParagraph"/>
        <w:numPr>
          <w:ilvl w:val="7"/>
          <w:numId w:val="9"/>
        </w:numPr>
        <w:tabs>
          <w:tab w:val="left" w:pos="540"/>
        </w:tabs>
        <w:spacing w:before="240" w:after="240" w:line="240" w:lineRule="auto"/>
        <w:contextualSpacing w:val="0"/>
        <w:rPr>
          <w:rFonts w:ascii="Arial" w:hAnsi="Arial" w:cs="Times New Roman"/>
          <w:b/>
          <w:szCs w:val="24"/>
          <w:u w:val="single"/>
        </w:rPr>
      </w:pPr>
      <w:r>
        <w:rPr>
          <w:rFonts w:ascii="Arial" w:hAnsi="Arial" w:cs="Times New Roman"/>
          <w:szCs w:val="24"/>
        </w:rPr>
        <w:t>Approved:</w:t>
      </w:r>
      <w:r w:rsidR="00DE7677">
        <w:rPr>
          <w:rFonts w:ascii="Arial" w:hAnsi="Arial" w:cs="Times New Roman"/>
          <w:szCs w:val="24"/>
        </w:rPr>
        <w:t xml:space="preserve"> TBD</w:t>
      </w:r>
      <w:r>
        <w:rPr>
          <w:rFonts w:ascii="Arial" w:hAnsi="Arial" w:cs="Times New Roman"/>
          <w:szCs w:val="24"/>
        </w:rPr>
        <w:tab/>
      </w:r>
      <w:r w:rsidR="00161E5B">
        <w:rPr>
          <w:rFonts w:ascii="Arial" w:hAnsi="Arial" w:cs="Times New Roman"/>
          <w:szCs w:val="24"/>
        </w:rPr>
        <w:tab/>
      </w:r>
      <w:r w:rsidR="00161E5B">
        <w:rPr>
          <w:rFonts w:ascii="Arial" w:hAnsi="Arial" w:cs="Times New Roman"/>
          <w:szCs w:val="24"/>
        </w:rPr>
        <w:tab/>
      </w:r>
      <w:r w:rsidR="00161E5B"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 xml:space="preserve">Title: </w:t>
      </w:r>
      <w:r w:rsidR="001E7016">
        <w:rPr>
          <w:rFonts w:ascii="Arial" w:hAnsi="Arial" w:cs="Times New Roman"/>
          <w:szCs w:val="24"/>
        </w:rPr>
        <w:t>Health Centers Director</w:t>
      </w:r>
    </w:p>
    <w:sectPr w:rsidR="001B3FA0" w:rsidRPr="00DE76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4425" w14:textId="77777777" w:rsidR="00E7555E" w:rsidRDefault="00E7555E" w:rsidP="003C493C">
      <w:pPr>
        <w:spacing w:after="0" w:line="240" w:lineRule="auto"/>
      </w:pPr>
      <w:r>
        <w:separator/>
      </w:r>
    </w:p>
  </w:endnote>
  <w:endnote w:type="continuationSeparator" w:id="0">
    <w:p w14:paraId="02665DE5" w14:textId="77777777" w:rsidR="00E7555E" w:rsidRDefault="00E7555E" w:rsidP="003C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29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BB6E0" w14:textId="77777777" w:rsidR="001E540E" w:rsidRDefault="001E5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3A34A" w14:textId="77777777" w:rsidR="001E540E" w:rsidRDefault="001E7016" w:rsidP="00C93158">
    <w:pPr>
      <w:pStyle w:val="Footer"/>
    </w:pPr>
    <w:r>
      <w:t>03/27</w:t>
    </w:r>
    <w:r w:rsidR="00022753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69824" w14:textId="77777777" w:rsidR="00E7555E" w:rsidRDefault="00E7555E" w:rsidP="003C493C">
      <w:pPr>
        <w:spacing w:after="0" w:line="240" w:lineRule="auto"/>
      </w:pPr>
      <w:r>
        <w:separator/>
      </w:r>
    </w:p>
  </w:footnote>
  <w:footnote w:type="continuationSeparator" w:id="0">
    <w:p w14:paraId="160A128E" w14:textId="77777777" w:rsidR="00E7555E" w:rsidRDefault="00E7555E" w:rsidP="003C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30"/>
      <w:gridCol w:w="6030"/>
      <w:gridCol w:w="1144"/>
      <w:gridCol w:w="1286"/>
    </w:tblGrid>
    <w:tr w:rsidR="00007C8D" w:rsidRPr="00A64570" w14:paraId="415F6AF7" w14:textId="77777777" w:rsidTr="00317236">
      <w:trPr>
        <w:trHeight w:val="615"/>
        <w:jc w:val="center"/>
      </w:trPr>
      <w:tc>
        <w:tcPr>
          <w:tcW w:w="1530" w:type="dxa"/>
          <w:vMerge w:val="restart"/>
          <w:vAlign w:val="center"/>
        </w:tcPr>
        <w:p w14:paraId="23650490" w14:textId="3D53EBB5" w:rsidR="00007C8D" w:rsidRPr="00A64570" w:rsidRDefault="00007C8D" w:rsidP="003C493C">
          <w:pPr>
            <w:pStyle w:val="Header"/>
            <w:jc w:val="center"/>
            <w:rPr>
              <w:rFonts w:ascii="Arial" w:hAnsi="Arial" w:cs="Arial"/>
              <w:caps/>
            </w:rPr>
          </w:pPr>
        </w:p>
      </w:tc>
      <w:tc>
        <w:tcPr>
          <w:tcW w:w="6030" w:type="dxa"/>
          <w:vAlign w:val="center"/>
        </w:tcPr>
        <w:p w14:paraId="682ABD84" w14:textId="13826F7E" w:rsidR="00007C8D" w:rsidRPr="00D51985" w:rsidRDefault="00007C8D" w:rsidP="008906A4">
          <w:pPr>
            <w:pStyle w:val="Header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</w:p>
      </w:tc>
      <w:tc>
        <w:tcPr>
          <w:tcW w:w="1144" w:type="dxa"/>
          <w:tcMar>
            <w:left w:w="43" w:type="dxa"/>
            <w:right w:w="43" w:type="dxa"/>
          </w:tcMar>
          <w:vAlign w:val="center"/>
        </w:tcPr>
        <w:p w14:paraId="4AB56D42" w14:textId="77777777" w:rsidR="00007C8D" w:rsidRPr="007D355E" w:rsidRDefault="00007C8D" w:rsidP="00133582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Approval Date</w:t>
          </w:r>
        </w:p>
      </w:tc>
      <w:tc>
        <w:tcPr>
          <w:tcW w:w="1286" w:type="dxa"/>
          <w:vAlign w:val="center"/>
        </w:tcPr>
        <w:p w14:paraId="2D2D63EE" w14:textId="77777777" w:rsidR="00007C8D" w:rsidRPr="000147EC" w:rsidRDefault="00EE18E6" w:rsidP="003C493C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TBD</w:t>
          </w:r>
        </w:p>
      </w:tc>
    </w:tr>
    <w:tr w:rsidR="003C493C" w:rsidRPr="00A64570" w14:paraId="358EADB0" w14:textId="77777777" w:rsidTr="00317236">
      <w:trPr>
        <w:cantSplit/>
        <w:trHeight w:val="345"/>
        <w:jc w:val="center"/>
      </w:trPr>
      <w:tc>
        <w:tcPr>
          <w:tcW w:w="1530" w:type="dxa"/>
          <w:vMerge/>
        </w:tcPr>
        <w:p w14:paraId="049766D7" w14:textId="77777777" w:rsidR="003C493C" w:rsidRPr="00A64570" w:rsidRDefault="003C493C" w:rsidP="003C493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6030" w:type="dxa"/>
          <w:vMerge w:val="restart"/>
          <w:vAlign w:val="center"/>
        </w:tcPr>
        <w:p w14:paraId="3F51092B" w14:textId="77777777" w:rsidR="003C493C" w:rsidRPr="00446B78" w:rsidRDefault="003C493C" w:rsidP="00223C14">
          <w:pPr>
            <w:pStyle w:val="Header"/>
            <w:ind w:left="893" w:hanging="893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4"/>
            </w:rPr>
            <w:t>TITLE</w:t>
          </w:r>
          <w:r w:rsidRPr="00A64570">
            <w:rPr>
              <w:rFonts w:ascii="Arial" w:hAnsi="Arial" w:cs="Arial"/>
              <w:b/>
              <w:bCs/>
              <w:sz w:val="24"/>
            </w:rPr>
            <w:t>:</w:t>
          </w:r>
          <w:r w:rsidR="00933BE9">
            <w:rPr>
              <w:rFonts w:ascii="Arial" w:hAnsi="Arial" w:cs="Arial"/>
              <w:b/>
              <w:bCs/>
              <w:sz w:val="24"/>
            </w:rPr>
            <w:t xml:space="preserve"> </w:t>
          </w:r>
          <w:r w:rsidR="00D476BE">
            <w:rPr>
              <w:rFonts w:ascii="Arial" w:hAnsi="Arial" w:cs="Arial"/>
              <w:b/>
              <w:bCs/>
              <w:sz w:val="24"/>
            </w:rPr>
            <w:t xml:space="preserve"> </w:t>
          </w:r>
          <w:r w:rsidR="00C4125C">
            <w:rPr>
              <w:rFonts w:ascii="Arial" w:hAnsi="Arial" w:cs="Arial"/>
              <w:b/>
              <w:bCs/>
              <w:sz w:val="24"/>
            </w:rPr>
            <w:t>On</w:t>
          </w:r>
          <w:r w:rsidR="00223C14">
            <w:rPr>
              <w:rFonts w:ascii="Arial" w:hAnsi="Arial" w:cs="Arial"/>
              <w:b/>
              <w:bCs/>
              <w:sz w:val="24"/>
            </w:rPr>
            <w:t xml:space="preserve">going </w:t>
          </w:r>
          <w:r w:rsidR="00BE5F06">
            <w:rPr>
              <w:rFonts w:ascii="Arial" w:hAnsi="Arial" w:cs="Arial"/>
              <w:b/>
              <w:bCs/>
              <w:sz w:val="24"/>
            </w:rPr>
            <w:t>Opioid Prescriptions for Patients with Chronic Non-Cancer/Non-Terminal Pain</w:t>
          </w:r>
          <w:r w:rsidR="00446B78" w:rsidRPr="00446B78">
            <w:rPr>
              <w:rFonts w:ascii="Arial" w:hAnsi="Arial" w:cs="Arial"/>
              <w:b/>
              <w:bCs/>
              <w:sz w:val="24"/>
            </w:rPr>
            <w:t xml:space="preserve"> </w:t>
          </w:r>
          <w:r w:rsidR="00223C14">
            <w:rPr>
              <w:rFonts w:ascii="Arial" w:hAnsi="Arial" w:cs="Arial"/>
              <w:b/>
              <w:bCs/>
              <w:sz w:val="24"/>
            </w:rPr>
            <w:t>Procedure</w:t>
          </w:r>
        </w:p>
      </w:tc>
      <w:tc>
        <w:tcPr>
          <w:tcW w:w="1144" w:type="dxa"/>
          <w:tcMar>
            <w:left w:w="72" w:type="dxa"/>
            <w:right w:w="72" w:type="dxa"/>
          </w:tcMar>
          <w:vAlign w:val="center"/>
        </w:tcPr>
        <w:p w14:paraId="22D97FE7" w14:textId="77777777" w:rsidR="003C493C" w:rsidRPr="002B7CDD" w:rsidRDefault="00133582" w:rsidP="00133582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Review Cycle</w:t>
          </w:r>
        </w:p>
      </w:tc>
      <w:tc>
        <w:tcPr>
          <w:tcW w:w="1286" w:type="dxa"/>
          <w:vAlign w:val="center"/>
        </w:tcPr>
        <w:p w14:paraId="0D0C8D20" w14:textId="77777777" w:rsidR="003C493C" w:rsidRPr="000147EC" w:rsidRDefault="00BE5F06" w:rsidP="003C493C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Annual</w:t>
          </w:r>
        </w:p>
      </w:tc>
    </w:tr>
    <w:tr w:rsidR="003C493C" w:rsidRPr="00A64570" w14:paraId="2DD52915" w14:textId="77777777" w:rsidTr="00317236">
      <w:trPr>
        <w:cantSplit/>
        <w:trHeight w:val="390"/>
        <w:jc w:val="center"/>
      </w:trPr>
      <w:tc>
        <w:tcPr>
          <w:tcW w:w="1530" w:type="dxa"/>
          <w:vMerge/>
        </w:tcPr>
        <w:p w14:paraId="3DAA0118" w14:textId="77777777" w:rsidR="003C493C" w:rsidRPr="00A64570" w:rsidRDefault="003C493C" w:rsidP="003C493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6030" w:type="dxa"/>
          <w:vMerge/>
          <w:vAlign w:val="center"/>
        </w:tcPr>
        <w:p w14:paraId="3DF8CC7C" w14:textId="77777777" w:rsidR="003C493C" w:rsidRDefault="003C493C" w:rsidP="003C493C">
          <w:pPr>
            <w:pStyle w:val="Head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1144" w:type="dxa"/>
          <w:vAlign w:val="center"/>
        </w:tcPr>
        <w:p w14:paraId="0CC997ED" w14:textId="77777777" w:rsidR="003C493C" w:rsidRPr="000147EC" w:rsidRDefault="00133582" w:rsidP="003C493C">
          <w:pPr>
            <w:pStyle w:val="Header"/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Next Review</w:t>
          </w:r>
        </w:p>
      </w:tc>
      <w:tc>
        <w:tcPr>
          <w:tcW w:w="1286" w:type="dxa"/>
          <w:vAlign w:val="center"/>
        </w:tcPr>
        <w:p w14:paraId="2CD621A3" w14:textId="53EF2C34" w:rsidR="003C493C" w:rsidRPr="00491D29" w:rsidRDefault="0014352B" w:rsidP="003C493C">
          <w:pPr>
            <w:pStyle w:val="Header"/>
            <w:jc w:val="center"/>
            <w:rPr>
              <w:rFonts w:ascii="Arial" w:hAnsi="Arial" w:cs="Arial"/>
              <w:color w:val="FF0000"/>
              <w:sz w:val="28"/>
              <w:szCs w:val="16"/>
            </w:rPr>
          </w:pPr>
          <w:r>
            <w:rPr>
              <w:rFonts w:ascii="Arial" w:hAnsi="Arial" w:cs="Arial"/>
              <w:color w:val="FF0000"/>
              <w:sz w:val="16"/>
              <w:szCs w:val="16"/>
            </w:rPr>
            <w:t>TBA</w:t>
          </w:r>
        </w:p>
      </w:tc>
    </w:tr>
  </w:tbl>
  <w:p w14:paraId="6595CD50" w14:textId="77777777" w:rsidR="003C493C" w:rsidRDefault="003C4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9C2"/>
    <w:multiLevelType w:val="hybridMultilevel"/>
    <w:tmpl w:val="6EF294BC"/>
    <w:lvl w:ilvl="0" w:tplc="5598282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8D5"/>
    <w:multiLevelType w:val="multilevel"/>
    <w:tmpl w:val="90BAAE66"/>
    <w:lvl w:ilvl="0">
      <w:start w:val="1"/>
      <w:numFmt w:val="upperRoman"/>
      <w:lvlText w:val="%1."/>
      <w:lvlJc w:val="left"/>
      <w:pPr>
        <w:ind w:left="547" w:hanging="547"/>
      </w:pPr>
      <w:rPr>
        <w:rFonts w:ascii="Arial" w:hAnsi="Arial" w:hint="default"/>
        <w:b/>
        <w:i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907" w:hanging="36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267"/>
        </w:tabs>
        <w:ind w:left="1627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987"/>
        </w:tabs>
        <w:ind w:left="2347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707"/>
        </w:tabs>
        <w:ind w:left="3067" w:hanging="36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3427"/>
        </w:tabs>
        <w:ind w:left="3787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4147"/>
        </w:tabs>
        <w:ind w:left="4507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547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" w:hanging="547"/>
      </w:pPr>
      <w:rPr>
        <w:rFonts w:hint="default"/>
      </w:rPr>
    </w:lvl>
  </w:abstractNum>
  <w:abstractNum w:abstractNumId="2" w15:restartNumberingAfterBreak="0">
    <w:nsid w:val="45C00D04"/>
    <w:multiLevelType w:val="hybridMultilevel"/>
    <w:tmpl w:val="0A7A5C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8A38D9"/>
    <w:multiLevelType w:val="multilevel"/>
    <w:tmpl w:val="90BAAE66"/>
    <w:lvl w:ilvl="0">
      <w:start w:val="1"/>
      <w:numFmt w:val="upperRoman"/>
      <w:lvlText w:val="%1."/>
      <w:lvlJc w:val="left"/>
      <w:pPr>
        <w:ind w:left="547" w:hanging="547"/>
      </w:pPr>
      <w:rPr>
        <w:rFonts w:ascii="Arial" w:hAnsi="Arial" w:hint="default"/>
        <w:b/>
        <w:i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907" w:hanging="36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267"/>
        </w:tabs>
        <w:ind w:left="1627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987"/>
        </w:tabs>
        <w:ind w:left="2347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707"/>
        </w:tabs>
        <w:ind w:left="3067" w:hanging="36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3427"/>
        </w:tabs>
        <w:ind w:left="3787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4147"/>
        </w:tabs>
        <w:ind w:left="4507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547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" w:hanging="547"/>
      </w:pPr>
      <w:rPr>
        <w:rFonts w:hint="default"/>
      </w:rPr>
    </w:lvl>
  </w:abstractNum>
  <w:abstractNum w:abstractNumId="4" w15:restartNumberingAfterBreak="0">
    <w:nsid w:val="574708C2"/>
    <w:multiLevelType w:val="hybridMultilevel"/>
    <w:tmpl w:val="30DC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2C87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E8C7F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F6A38"/>
    <w:multiLevelType w:val="hybridMultilevel"/>
    <w:tmpl w:val="3A74FB0E"/>
    <w:lvl w:ilvl="0" w:tplc="04090015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EC5C24"/>
    <w:multiLevelType w:val="hybridMultilevel"/>
    <w:tmpl w:val="8C2E40E2"/>
    <w:lvl w:ilvl="0" w:tplc="1F401A30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744A"/>
    <w:multiLevelType w:val="hybridMultilevel"/>
    <w:tmpl w:val="24A8B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07"/>
    <w:rsid w:val="0000671D"/>
    <w:rsid w:val="00007C8D"/>
    <w:rsid w:val="00016768"/>
    <w:rsid w:val="00022753"/>
    <w:rsid w:val="0008473F"/>
    <w:rsid w:val="001023A4"/>
    <w:rsid w:val="00133582"/>
    <w:rsid w:val="0014352B"/>
    <w:rsid w:val="00161E5B"/>
    <w:rsid w:val="001B3FA0"/>
    <w:rsid w:val="001C3353"/>
    <w:rsid w:val="001E540E"/>
    <w:rsid w:val="001E6BAF"/>
    <w:rsid w:val="001E7016"/>
    <w:rsid w:val="00223C14"/>
    <w:rsid w:val="002A6F1B"/>
    <w:rsid w:val="002C3893"/>
    <w:rsid w:val="002D7DEC"/>
    <w:rsid w:val="00317236"/>
    <w:rsid w:val="00332AF9"/>
    <w:rsid w:val="00373CA3"/>
    <w:rsid w:val="003855C6"/>
    <w:rsid w:val="003B1E79"/>
    <w:rsid w:val="003C493C"/>
    <w:rsid w:val="003E6910"/>
    <w:rsid w:val="003F7242"/>
    <w:rsid w:val="00417B4C"/>
    <w:rsid w:val="00425246"/>
    <w:rsid w:val="004415BB"/>
    <w:rsid w:val="00444786"/>
    <w:rsid w:val="00446B78"/>
    <w:rsid w:val="00491D29"/>
    <w:rsid w:val="004D3FE4"/>
    <w:rsid w:val="004F0260"/>
    <w:rsid w:val="004F2E00"/>
    <w:rsid w:val="00504915"/>
    <w:rsid w:val="00512F60"/>
    <w:rsid w:val="00521CFB"/>
    <w:rsid w:val="00531770"/>
    <w:rsid w:val="005B14F7"/>
    <w:rsid w:val="005E5C95"/>
    <w:rsid w:val="00604DF9"/>
    <w:rsid w:val="006329B5"/>
    <w:rsid w:val="00652068"/>
    <w:rsid w:val="006812A5"/>
    <w:rsid w:val="006A3857"/>
    <w:rsid w:val="006B174F"/>
    <w:rsid w:val="006C7C27"/>
    <w:rsid w:val="006E6FC3"/>
    <w:rsid w:val="007255E0"/>
    <w:rsid w:val="00730AF0"/>
    <w:rsid w:val="0073485B"/>
    <w:rsid w:val="00752034"/>
    <w:rsid w:val="00782C9B"/>
    <w:rsid w:val="00782D72"/>
    <w:rsid w:val="00792D02"/>
    <w:rsid w:val="008461B5"/>
    <w:rsid w:val="00866670"/>
    <w:rsid w:val="00884A23"/>
    <w:rsid w:val="00884F38"/>
    <w:rsid w:val="008906A4"/>
    <w:rsid w:val="008977D4"/>
    <w:rsid w:val="008A3A70"/>
    <w:rsid w:val="008C198A"/>
    <w:rsid w:val="008C58EF"/>
    <w:rsid w:val="008D02AB"/>
    <w:rsid w:val="008F2F78"/>
    <w:rsid w:val="00933BE9"/>
    <w:rsid w:val="009C68EE"/>
    <w:rsid w:val="009F2CD1"/>
    <w:rsid w:val="00A86BE0"/>
    <w:rsid w:val="00AA58F8"/>
    <w:rsid w:val="00AB032C"/>
    <w:rsid w:val="00AC2A5A"/>
    <w:rsid w:val="00AD2A62"/>
    <w:rsid w:val="00AD7AB4"/>
    <w:rsid w:val="00B12B69"/>
    <w:rsid w:val="00B4772A"/>
    <w:rsid w:val="00B5511E"/>
    <w:rsid w:val="00B75A63"/>
    <w:rsid w:val="00B80D3A"/>
    <w:rsid w:val="00B928EC"/>
    <w:rsid w:val="00BB1149"/>
    <w:rsid w:val="00BE5F06"/>
    <w:rsid w:val="00BF0A0A"/>
    <w:rsid w:val="00C0792A"/>
    <w:rsid w:val="00C12DDE"/>
    <w:rsid w:val="00C341C1"/>
    <w:rsid w:val="00C35FE5"/>
    <w:rsid w:val="00C40598"/>
    <w:rsid w:val="00C4125C"/>
    <w:rsid w:val="00C44EA4"/>
    <w:rsid w:val="00C55A73"/>
    <w:rsid w:val="00C71BCC"/>
    <w:rsid w:val="00C82EFE"/>
    <w:rsid w:val="00C93158"/>
    <w:rsid w:val="00CB1661"/>
    <w:rsid w:val="00D31370"/>
    <w:rsid w:val="00D476BE"/>
    <w:rsid w:val="00DA147E"/>
    <w:rsid w:val="00DA4EE7"/>
    <w:rsid w:val="00DC1123"/>
    <w:rsid w:val="00DD3907"/>
    <w:rsid w:val="00DE7677"/>
    <w:rsid w:val="00E066F7"/>
    <w:rsid w:val="00E15EBE"/>
    <w:rsid w:val="00E21F6A"/>
    <w:rsid w:val="00E33E19"/>
    <w:rsid w:val="00E3402F"/>
    <w:rsid w:val="00E60506"/>
    <w:rsid w:val="00E7555E"/>
    <w:rsid w:val="00EC7033"/>
    <w:rsid w:val="00EE18E6"/>
    <w:rsid w:val="00EE7015"/>
    <w:rsid w:val="00EF2536"/>
    <w:rsid w:val="00F020BE"/>
    <w:rsid w:val="00F072C9"/>
    <w:rsid w:val="00F22D97"/>
    <w:rsid w:val="00F41806"/>
    <w:rsid w:val="00F72F78"/>
    <w:rsid w:val="00F752AA"/>
    <w:rsid w:val="00FA004B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69747"/>
  <w15:chartTrackingRefBased/>
  <w15:docId w15:val="{3B14BA01-C849-4BF4-92FD-26AD5DB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49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3C"/>
  </w:style>
  <w:style w:type="paragraph" w:styleId="Footer">
    <w:name w:val="footer"/>
    <w:basedOn w:val="Normal"/>
    <w:link w:val="FooterChar"/>
    <w:uiPriority w:val="99"/>
    <w:unhideWhenUsed/>
    <w:rsid w:val="003C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3C"/>
  </w:style>
  <w:style w:type="paragraph" w:styleId="ListParagraph">
    <w:name w:val="List Paragraph"/>
    <w:basedOn w:val="Normal"/>
    <w:uiPriority w:val="34"/>
    <w:qFormat/>
    <w:rsid w:val="003C493C"/>
    <w:pPr>
      <w:ind w:left="720"/>
      <w:contextualSpacing/>
    </w:pPr>
  </w:style>
  <w:style w:type="table" w:styleId="TableGrid">
    <w:name w:val="Table Grid"/>
    <w:basedOn w:val="TableNormal"/>
    <w:uiPriority w:val="59"/>
    <w:rsid w:val="003C4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FE5"/>
    <w:rPr>
      <w:color w:val="0000FF"/>
      <w:u w:val="single"/>
    </w:rPr>
  </w:style>
  <w:style w:type="paragraph" w:styleId="NoSpacing">
    <w:name w:val="No Spacing"/>
    <w:uiPriority w:val="1"/>
    <w:qFormat/>
    <w:rsid w:val="00C35F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11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0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regonpainguidance.org/opioidmedcalculator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35D0DCCED9642A07F637904FAD330" ma:contentTypeVersion="12" ma:contentTypeDescription="Create a new document." ma:contentTypeScope="" ma:versionID="d8b3b510c147b1cfeeac297fef8a9106">
  <xsd:schema xmlns:xsd="http://www.w3.org/2001/XMLSchema" xmlns:xs="http://www.w3.org/2001/XMLSchema" xmlns:p="http://schemas.microsoft.com/office/2006/metadata/properties" xmlns:ns2="3abfeb9f-d26a-4ffc-b5ff-6bd830e08790" xmlns:ns3="f6cdebc2-aade-44db-8b39-5b6eeca79e46" targetNamespace="http://schemas.microsoft.com/office/2006/metadata/properties" ma:root="true" ma:fieldsID="2570ecf7846269b297924e09c5307a1e" ns2:_="" ns3:_="">
    <xsd:import namespace="3abfeb9f-d26a-4ffc-b5ff-6bd830e08790"/>
    <xsd:import namespace="f6cdebc2-aade-44db-8b39-5b6eeca79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eb9f-d26a-4ffc-b5ff-6bd830e08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ebc2-aade-44db-8b39-5b6eeca79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3E37A-0F94-4676-89A3-EBF663C691BF}"/>
</file>

<file path=customXml/itemProps2.xml><?xml version="1.0" encoding="utf-8"?>
<ds:datastoreItem xmlns:ds="http://schemas.openxmlformats.org/officeDocument/2006/customXml" ds:itemID="{C770F100-3825-4586-A4EA-A5C9E9C0077C}"/>
</file>

<file path=customXml/itemProps3.xml><?xml version="1.0" encoding="utf-8"?>
<ds:datastoreItem xmlns:ds="http://schemas.openxmlformats.org/officeDocument/2006/customXml" ds:itemID="{42E4FC29-BACE-4E18-B679-8164A00F2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Okey, Heather</dc:creator>
  <cp:keywords/>
  <dc:description/>
  <cp:lastModifiedBy>Laura Heesacker</cp:lastModifiedBy>
  <cp:revision>2</cp:revision>
  <cp:lastPrinted>2019-01-02T15:54:00Z</cp:lastPrinted>
  <dcterms:created xsi:type="dcterms:W3CDTF">2019-09-01T15:03:00Z</dcterms:created>
  <dcterms:modified xsi:type="dcterms:W3CDTF">2019-09-01T15:03:00Z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0x010100F5035D0DCCED9642A07F637904FAD330</vt:lpwstr>
  </property>
</Properties>
</file>