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0EAF3" w14:textId="77777777" w:rsidR="001D1C16" w:rsidRDefault="001D1C16" w:rsidP="001D1C16">
      <w:pPr>
        <w:pStyle w:val="Heading3"/>
        <w:spacing w:before="240"/>
      </w:pPr>
      <w:r>
        <w:t>Suggested opioid management assessment schedule</w:t>
      </w:r>
    </w:p>
    <w:tbl>
      <w:tblPr>
        <w:tblStyle w:val="GridTable4-Accent11"/>
        <w:tblW w:w="10795" w:type="dxa"/>
        <w:tblLook w:val="04A0" w:firstRow="1" w:lastRow="0" w:firstColumn="1" w:lastColumn="0" w:noHBand="0" w:noVBand="1"/>
      </w:tblPr>
      <w:tblGrid>
        <w:gridCol w:w="3055"/>
        <w:gridCol w:w="3656"/>
        <w:gridCol w:w="4084"/>
      </w:tblGrid>
      <w:tr w:rsidR="001D1C16" w:rsidRPr="00967C1D" w14:paraId="36ACF430" w14:textId="77777777" w:rsidTr="007B2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5E269A2" w14:textId="77777777" w:rsidR="001D1C16" w:rsidRPr="00967C1D" w:rsidRDefault="001D1C16" w:rsidP="007B2800">
            <w:pPr>
              <w:pStyle w:val="Tableheader"/>
              <w:rPr>
                <w:b/>
                <w:sz w:val="18"/>
                <w:szCs w:val="18"/>
              </w:rPr>
            </w:pPr>
            <w:r w:rsidRPr="00967C1D">
              <w:rPr>
                <w:b/>
                <w:sz w:val="18"/>
                <w:szCs w:val="18"/>
              </w:rPr>
              <w:t>What you are assessing</w:t>
            </w:r>
          </w:p>
        </w:tc>
        <w:tc>
          <w:tcPr>
            <w:tcW w:w="3656" w:type="dxa"/>
          </w:tcPr>
          <w:p w14:paraId="19FB4159" w14:textId="77777777" w:rsidR="001D1C16" w:rsidRPr="00967C1D" w:rsidRDefault="001D1C16" w:rsidP="007B280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67C1D">
              <w:rPr>
                <w:b/>
                <w:sz w:val="18"/>
                <w:szCs w:val="18"/>
              </w:rPr>
              <w:t>How to assess</w:t>
            </w:r>
          </w:p>
        </w:tc>
        <w:tc>
          <w:tcPr>
            <w:tcW w:w="4084" w:type="dxa"/>
          </w:tcPr>
          <w:p w14:paraId="5706B079" w14:textId="77777777" w:rsidR="001D1C16" w:rsidRPr="00967C1D" w:rsidRDefault="001D1C16" w:rsidP="007B280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67C1D">
              <w:rPr>
                <w:b/>
                <w:sz w:val="18"/>
                <w:szCs w:val="18"/>
              </w:rPr>
              <w:t>How frequently to assess</w:t>
            </w:r>
          </w:p>
        </w:tc>
      </w:tr>
      <w:tr w:rsidR="001D1C16" w:rsidRPr="001151CE" w14:paraId="36015663" w14:textId="77777777" w:rsidTr="007B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420B44C" w14:textId="77777777" w:rsidR="001D1C16" w:rsidRPr="001151CE" w:rsidRDefault="001D1C16" w:rsidP="007B2800">
            <w:pPr>
              <w:pStyle w:val="TableParagraph"/>
              <w:rPr>
                <w:b w:val="0"/>
                <w:bCs w:val="0"/>
                <w:szCs w:val="18"/>
              </w:rPr>
            </w:pPr>
            <w:r w:rsidRPr="001151CE">
              <w:rPr>
                <w:szCs w:val="18"/>
              </w:rPr>
              <w:t>Specific diagnosis for pain</w:t>
            </w:r>
          </w:p>
          <w:p w14:paraId="15B19FCE" w14:textId="77777777" w:rsidR="001D1C16" w:rsidRPr="001151CE" w:rsidRDefault="001D1C16" w:rsidP="007B2800">
            <w:pPr>
              <w:pStyle w:val="TableParagraph"/>
              <w:rPr>
                <w:szCs w:val="18"/>
              </w:rPr>
            </w:pPr>
            <w:r w:rsidRPr="001151CE">
              <w:rPr>
                <w:b w:val="0"/>
                <w:szCs w:val="18"/>
              </w:rPr>
              <w:t>Check that the patient has a diagnosis for their pain that will benefit from opioid medication.</w:t>
            </w:r>
          </w:p>
        </w:tc>
        <w:tc>
          <w:tcPr>
            <w:tcW w:w="3656" w:type="dxa"/>
          </w:tcPr>
          <w:p w14:paraId="5A4C4D4B" w14:textId="77777777" w:rsidR="001D1C16" w:rsidRPr="001151CE" w:rsidRDefault="001D1C16" w:rsidP="007B2800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1151CE">
              <w:rPr>
                <w:szCs w:val="18"/>
              </w:rPr>
              <w:t>Based on history, physical examination, and testing (e.g., labs, imaging, as indicated)</w:t>
            </w:r>
          </w:p>
        </w:tc>
        <w:tc>
          <w:tcPr>
            <w:tcW w:w="4084" w:type="dxa"/>
          </w:tcPr>
          <w:p w14:paraId="3C3E1D93" w14:textId="77777777" w:rsidR="001D1C16" w:rsidRPr="001151CE" w:rsidRDefault="001D1C16" w:rsidP="007B2800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1151CE">
              <w:rPr>
                <w:szCs w:val="18"/>
              </w:rPr>
              <w:t xml:space="preserve">First acute, subacute, and chronic pain visit and then at visits </w:t>
            </w:r>
            <w:hyperlink w:anchor="_Appendix_A:_Risk" w:history="1">
              <w:r w:rsidRPr="001151CE">
                <w:rPr>
                  <w:rStyle w:val="Hyperlink"/>
                  <w:szCs w:val="18"/>
                </w:rPr>
                <w:t>according to risk level</w:t>
              </w:r>
            </w:hyperlink>
          </w:p>
        </w:tc>
      </w:tr>
      <w:tr w:rsidR="001D1C16" w:rsidRPr="001151CE" w14:paraId="237C0C89" w14:textId="77777777" w:rsidTr="007B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C5BE077" w14:textId="77777777" w:rsidR="001D1C16" w:rsidRPr="001151CE" w:rsidRDefault="001D1C16" w:rsidP="007B2800">
            <w:pPr>
              <w:pStyle w:val="TableParagraph"/>
              <w:rPr>
                <w:szCs w:val="18"/>
              </w:rPr>
            </w:pPr>
            <w:r w:rsidRPr="001151CE">
              <w:rPr>
                <w:szCs w:val="18"/>
              </w:rPr>
              <w:t xml:space="preserve">Progress in meeting functional goals </w:t>
            </w:r>
          </w:p>
        </w:tc>
        <w:tc>
          <w:tcPr>
            <w:tcW w:w="3656" w:type="dxa"/>
          </w:tcPr>
          <w:p w14:paraId="1BBF2088" w14:textId="77777777" w:rsidR="001D1C16" w:rsidRPr="001151CE" w:rsidRDefault="001D1C16" w:rsidP="007B280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1151CE">
              <w:rPr>
                <w:szCs w:val="18"/>
              </w:rPr>
              <w:t>Pain, Enjoyment, General activity scale (</w:t>
            </w:r>
            <w:hyperlink r:id="rId7" w:history="1">
              <w:r w:rsidRPr="001151CE">
                <w:rPr>
                  <w:rStyle w:val="Hyperlink"/>
                  <w:szCs w:val="18"/>
                </w:rPr>
                <w:t>PEG</w:t>
              </w:r>
            </w:hyperlink>
            <w:r w:rsidRPr="001151CE">
              <w:rPr>
                <w:szCs w:val="18"/>
              </w:rPr>
              <w:t xml:space="preserve">), documented </w:t>
            </w:r>
            <w:hyperlink r:id="rId8" w:history="1">
              <w:r w:rsidRPr="001151CE">
                <w:rPr>
                  <w:rStyle w:val="Hyperlink"/>
                  <w:szCs w:val="18"/>
                </w:rPr>
                <w:t>patient-set goals</w:t>
              </w:r>
            </w:hyperlink>
            <w:r w:rsidRPr="001151CE">
              <w:rPr>
                <w:szCs w:val="18"/>
              </w:rPr>
              <w:t xml:space="preserve"> (e.g., walk to the park), reports by family (though not always reliable, can be useful), evidence of performing job or life role function</w:t>
            </w:r>
          </w:p>
        </w:tc>
        <w:tc>
          <w:tcPr>
            <w:tcW w:w="4084" w:type="dxa"/>
          </w:tcPr>
          <w:p w14:paraId="0E4FB915" w14:textId="77777777" w:rsidR="001D1C16" w:rsidRPr="001151CE" w:rsidRDefault="001D1C16" w:rsidP="007B280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1151CE">
              <w:rPr>
                <w:szCs w:val="18"/>
              </w:rPr>
              <w:t>Every visit when opioids are prescribed</w:t>
            </w:r>
          </w:p>
        </w:tc>
      </w:tr>
      <w:tr w:rsidR="001D1C16" w:rsidRPr="001151CE" w14:paraId="4FF704FE" w14:textId="77777777" w:rsidTr="007B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8F99632" w14:textId="77777777" w:rsidR="001D1C16" w:rsidRPr="001151CE" w:rsidRDefault="001D1C16" w:rsidP="007B2800">
            <w:pPr>
              <w:pStyle w:val="TableParagraph"/>
              <w:rPr>
                <w:szCs w:val="18"/>
              </w:rPr>
            </w:pPr>
            <w:r w:rsidRPr="001151CE">
              <w:rPr>
                <w:szCs w:val="18"/>
              </w:rPr>
              <w:t>Potential benefits of non-opioid therapies</w:t>
            </w:r>
          </w:p>
        </w:tc>
        <w:tc>
          <w:tcPr>
            <w:tcW w:w="3656" w:type="dxa"/>
          </w:tcPr>
          <w:p w14:paraId="4A03DF5E" w14:textId="2355138F" w:rsidR="001D1C16" w:rsidRPr="001151CE" w:rsidRDefault="001D1C16" w:rsidP="007B2800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1151CE">
              <w:rPr>
                <w:szCs w:val="18"/>
              </w:rPr>
              <w:t xml:space="preserve">Diagnosis, history, patient’s perspective, evidence (See </w:t>
            </w:r>
            <w:hyperlink r:id="rId9" w:history="1">
              <w:r w:rsidRPr="001151CE">
                <w:rPr>
                  <w:rStyle w:val="Hyperlink"/>
                  <w:szCs w:val="18"/>
                </w:rPr>
                <w:t>integrative medicine table</w:t>
              </w:r>
            </w:hyperlink>
            <w:r w:rsidRPr="001151CE">
              <w:rPr>
                <w:szCs w:val="18"/>
              </w:rPr>
              <w:t xml:space="preserve"> and </w:t>
            </w:r>
            <w:hyperlink r:id="rId10" w:history="1">
              <w:r w:rsidRPr="001151CE">
                <w:rPr>
                  <w:rStyle w:val="Hyperlink"/>
                  <w:szCs w:val="18"/>
                </w:rPr>
                <w:t>"Nonopioid Treatments for Chronic Pain”</w:t>
              </w:r>
            </w:hyperlink>
            <w:r w:rsidR="002C6032">
              <w:rPr>
                <w:rStyle w:val="Hyperlink"/>
                <w:szCs w:val="18"/>
              </w:rPr>
              <w:t>)</w:t>
            </w:r>
            <w:r w:rsidRPr="001151CE">
              <w:rPr>
                <w:szCs w:val="18"/>
              </w:rPr>
              <w:t xml:space="preserve"> </w:t>
            </w:r>
          </w:p>
        </w:tc>
        <w:tc>
          <w:tcPr>
            <w:tcW w:w="4084" w:type="dxa"/>
          </w:tcPr>
          <w:p w14:paraId="119D05DF" w14:textId="77777777" w:rsidR="001D1C16" w:rsidRPr="001151CE" w:rsidRDefault="001D1C16" w:rsidP="007B2800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1151CE">
              <w:rPr>
                <w:szCs w:val="18"/>
              </w:rPr>
              <w:t xml:space="preserve">First acute, subacute, and chronic pain opioid prescription visit and then at visits </w:t>
            </w:r>
            <w:hyperlink w:anchor="_Appendix:_Risk_Stratification" w:history="1">
              <w:r w:rsidRPr="001151CE">
                <w:rPr>
                  <w:rStyle w:val="Hyperlink"/>
                  <w:szCs w:val="18"/>
                </w:rPr>
                <w:t>according to risk level</w:t>
              </w:r>
            </w:hyperlink>
          </w:p>
        </w:tc>
      </w:tr>
      <w:tr w:rsidR="001D1C16" w:rsidRPr="001151CE" w14:paraId="21BA67C9" w14:textId="77777777" w:rsidTr="007B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2875AF7" w14:textId="77777777" w:rsidR="001D1C16" w:rsidRPr="001151CE" w:rsidRDefault="001D1C16" w:rsidP="007B2800">
            <w:pPr>
              <w:pStyle w:val="TableParagraph"/>
              <w:rPr>
                <w:szCs w:val="18"/>
              </w:rPr>
            </w:pPr>
            <w:r w:rsidRPr="001151CE">
              <w:rPr>
                <w:szCs w:val="18"/>
              </w:rPr>
              <w:t>Benefits and risks of continued opioid therapy</w:t>
            </w:r>
          </w:p>
        </w:tc>
        <w:tc>
          <w:tcPr>
            <w:tcW w:w="3656" w:type="dxa"/>
          </w:tcPr>
          <w:p w14:paraId="2DB995A4" w14:textId="77777777" w:rsidR="001D1C16" w:rsidRPr="001151CE" w:rsidRDefault="001D1C16" w:rsidP="007B280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1151CE">
              <w:rPr>
                <w:szCs w:val="18"/>
              </w:rPr>
              <w:t xml:space="preserve">Based on history, </w:t>
            </w:r>
            <w:hyperlink r:id="rId11" w:history="1">
              <w:r w:rsidRPr="001151CE">
                <w:rPr>
                  <w:rStyle w:val="Hyperlink"/>
                  <w:szCs w:val="18"/>
                </w:rPr>
                <w:t>PEG</w:t>
              </w:r>
            </w:hyperlink>
            <w:r w:rsidRPr="001151CE">
              <w:rPr>
                <w:szCs w:val="18"/>
              </w:rPr>
              <w:t xml:space="preserve">, </w:t>
            </w:r>
            <w:hyperlink r:id="rId12" w:history="1">
              <w:r w:rsidRPr="001151CE">
                <w:rPr>
                  <w:rStyle w:val="Hyperlink"/>
                  <w:szCs w:val="18"/>
                </w:rPr>
                <w:t>MED</w:t>
              </w:r>
            </w:hyperlink>
            <w:r w:rsidRPr="001151CE">
              <w:rPr>
                <w:szCs w:val="18"/>
              </w:rPr>
              <w:t xml:space="preserve">, </w:t>
            </w:r>
            <w:hyperlink r:id="rId13" w:history="1">
              <w:r w:rsidRPr="001151CE">
                <w:rPr>
                  <w:rStyle w:val="Hyperlink"/>
                  <w:szCs w:val="18"/>
                </w:rPr>
                <w:t>COMM</w:t>
              </w:r>
            </w:hyperlink>
            <w:r w:rsidRPr="001151CE">
              <w:rPr>
                <w:szCs w:val="18"/>
              </w:rPr>
              <w:t xml:space="preserve">, </w:t>
            </w:r>
            <w:hyperlink r:id="rId14" w:history="1">
              <w:r w:rsidRPr="001151CE">
                <w:rPr>
                  <w:rStyle w:val="Hyperlink"/>
                  <w:szCs w:val="18"/>
                </w:rPr>
                <w:t>STOPBang</w:t>
              </w:r>
            </w:hyperlink>
            <w:r w:rsidRPr="001151CE">
              <w:rPr>
                <w:szCs w:val="18"/>
              </w:rPr>
              <w:t xml:space="preserve">, </w:t>
            </w:r>
            <w:hyperlink w:anchor="_Dose_of_opioids" w:history="1">
              <w:r w:rsidRPr="001151CE">
                <w:rPr>
                  <w:rStyle w:val="Hyperlink"/>
                  <w:szCs w:val="18"/>
                </w:rPr>
                <w:t>PDMP</w:t>
              </w:r>
            </w:hyperlink>
            <w:r w:rsidRPr="001151CE">
              <w:rPr>
                <w:szCs w:val="18"/>
              </w:rPr>
              <w:t xml:space="preserve">, </w:t>
            </w:r>
            <w:hyperlink r:id="rId15" w:history="1">
              <w:r w:rsidRPr="001151CE">
                <w:rPr>
                  <w:rStyle w:val="Hyperlink"/>
                  <w:szCs w:val="18"/>
                </w:rPr>
                <w:t>UDT</w:t>
              </w:r>
            </w:hyperlink>
            <w:r w:rsidRPr="001151CE">
              <w:rPr>
                <w:szCs w:val="18"/>
              </w:rPr>
              <w:t xml:space="preserve"> </w:t>
            </w:r>
          </w:p>
        </w:tc>
        <w:tc>
          <w:tcPr>
            <w:tcW w:w="4084" w:type="dxa"/>
          </w:tcPr>
          <w:p w14:paraId="43AE7B3C" w14:textId="77777777" w:rsidR="001D1C16" w:rsidRPr="001151CE" w:rsidRDefault="001D1C16" w:rsidP="007B280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1151CE">
              <w:rPr>
                <w:szCs w:val="18"/>
              </w:rPr>
              <w:t>A visit within 1 to 4 weeks of:</w:t>
            </w:r>
          </w:p>
          <w:p w14:paraId="17BA91A7" w14:textId="77777777" w:rsidR="001D1C16" w:rsidRPr="001151CE" w:rsidRDefault="001D1C16" w:rsidP="007B2800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51CE">
              <w:rPr>
                <w:sz w:val="18"/>
                <w:szCs w:val="18"/>
              </w:rPr>
              <w:t>First chronic pain opioid prescription</w:t>
            </w:r>
          </w:p>
          <w:p w14:paraId="6B7279E0" w14:textId="77777777" w:rsidR="001D1C16" w:rsidRPr="001151CE" w:rsidRDefault="001D1C16" w:rsidP="007B2800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51CE">
              <w:rPr>
                <w:sz w:val="18"/>
                <w:szCs w:val="18"/>
              </w:rPr>
              <w:t>Increasing the dose of a chronic pain opioid prescription</w:t>
            </w:r>
          </w:p>
        </w:tc>
      </w:tr>
      <w:tr w:rsidR="001D1C16" w:rsidRPr="001151CE" w14:paraId="0E07F4DF" w14:textId="77777777" w:rsidTr="007B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72C4298" w14:textId="77777777" w:rsidR="001D1C16" w:rsidRPr="001151CE" w:rsidRDefault="001D1C16" w:rsidP="007B2800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>Potential</w:t>
            </w:r>
            <w:r w:rsidRPr="00BD7B9D">
              <w:rPr>
                <w:szCs w:val="18"/>
              </w:rPr>
              <w:t xml:space="preserve"> for substance/opioid misuse, abuse, or </w:t>
            </w:r>
            <w:r w:rsidRPr="001151CE" w:rsidDel="00717772">
              <w:rPr>
                <w:szCs w:val="18"/>
              </w:rPr>
              <w:t>disorder</w:t>
            </w:r>
          </w:p>
        </w:tc>
        <w:tc>
          <w:tcPr>
            <w:tcW w:w="3656" w:type="dxa"/>
          </w:tcPr>
          <w:p w14:paraId="48037A04" w14:textId="77777777" w:rsidR="001D1C16" w:rsidRPr="001151CE" w:rsidRDefault="001D1C16" w:rsidP="007B2800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1151CE">
              <w:rPr>
                <w:szCs w:val="18"/>
              </w:rPr>
              <w:t xml:space="preserve">Potential tools to use: </w:t>
            </w:r>
            <w:hyperlink r:id="rId16" w:history="1">
              <w:r w:rsidRPr="001151CE">
                <w:rPr>
                  <w:rStyle w:val="Hyperlink"/>
                  <w:szCs w:val="18"/>
                </w:rPr>
                <w:t>ORT</w:t>
              </w:r>
            </w:hyperlink>
            <w:r w:rsidRPr="001151CE">
              <w:rPr>
                <w:szCs w:val="18"/>
              </w:rPr>
              <w:t xml:space="preserve">, </w:t>
            </w:r>
            <w:hyperlink r:id="rId17" w:history="1">
              <w:r w:rsidRPr="001151CE">
                <w:rPr>
                  <w:rStyle w:val="Hyperlink"/>
                  <w:szCs w:val="18"/>
                </w:rPr>
                <w:t>SOAPP</w:t>
              </w:r>
            </w:hyperlink>
            <w:r w:rsidRPr="001151CE">
              <w:rPr>
                <w:szCs w:val="18"/>
              </w:rPr>
              <w:t xml:space="preserve">, </w:t>
            </w:r>
            <w:hyperlink r:id="rId18" w:history="1">
              <w:r w:rsidRPr="001151CE">
                <w:rPr>
                  <w:rStyle w:val="Hyperlink"/>
                  <w:szCs w:val="18"/>
                </w:rPr>
                <w:t>COMM</w:t>
              </w:r>
            </w:hyperlink>
            <w:r w:rsidRPr="001151CE">
              <w:rPr>
                <w:szCs w:val="18"/>
              </w:rPr>
              <w:t xml:space="preserve">, </w:t>
            </w:r>
            <w:hyperlink r:id="rId19" w:history="1">
              <w:r w:rsidRPr="001151CE">
                <w:rPr>
                  <w:rStyle w:val="Hyperlink"/>
                  <w:szCs w:val="18"/>
                </w:rPr>
                <w:t>DAST</w:t>
              </w:r>
            </w:hyperlink>
            <w:r w:rsidRPr="001151CE">
              <w:rPr>
                <w:szCs w:val="18"/>
              </w:rPr>
              <w:t xml:space="preserve">, </w:t>
            </w:r>
            <w:hyperlink r:id="rId20" w:history="1">
              <w:r w:rsidRPr="001151CE">
                <w:rPr>
                  <w:rStyle w:val="Hyperlink"/>
                  <w:szCs w:val="18"/>
                </w:rPr>
                <w:t>TAPS</w:t>
              </w:r>
            </w:hyperlink>
            <w:r w:rsidRPr="001151CE">
              <w:rPr>
                <w:rStyle w:val="Hyperlink"/>
                <w:szCs w:val="18"/>
              </w:rPr>
              <w:t xml:space="preserve">, </w:t>
            </w:r>
            <w:hyperlink r:id="rId21" w:history="1">
              <w:r w:rsidRPr="001151CE">
                <w:rPr>
                  <w:rStyle w:val="Hyperlink"/>
                  <w:szCs w:val="18"/>
                </w:rPr>
                <w:t>DSM-5</w:t>
              </w:r>
            </w:hyperlink>
          </w:p>
        </w:tc>
        <w:tc>
          <w:tcPr>
            <w:tcW w:w="4084" w:type="dxa"/>
          </w:tcPr>
          <w:p w14:paraId="486CB927" w14:textId="77777777" w:rsidR="001D1C16" w:rsidRPr="001151CE" w:rsidRDefault="001D1C16" w:rsidP="007B2800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1151CE">
              <w:rPr>
                <w:szCs w:val="18"/>
              </w:rPr>
              <w:t>First subacute or chronic pain visit</w:t>
            </w:r>
          </w:p>
        </w:tc>
      </w:tr>
      <w:tr w:rsidR="001D1C16" w:rsidRPr="001151CE" w14:paraId="1E355899" w14:textId="77777777" w:rsidTr="007B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249D179" w14:textId="77777777" w:rsidR="001D1C16" w:rsidRPr="001151CE" w:rsidRDefault="001D1C16" w:rsidP="007B2800">
            <w:pPr>
              <w:pStyle w:val="TableParagraph"/>
              <w:rPr>
                <w:szCs w:val="18"/>
              </w:rPr>
            </w:pPr>
            <w:r w:rsidRPr="001151CE">
              <w:rPr>
                <w:szCs w:val="18"/>
              </w:rPr>
              <w:t xml:space="preserve">Current substances used, including </w:t>
            </w:r>
            <w:hyperlink r:id="rId22" w:history="1">
              <w:r>
                <w:rPr>
                  <w:rStyle w:val="Hyperlink"/>
                  <w:b w:val="0"/>
                  <w:bCs w:val="0"/>
                  <w:szCs w:val="18"/>
                </w:rPr>
                <w:t>sedative</w:t>
              </w:r>
              <w:r w:rsidRPr="001151CE">
                <w:rPr>
                  <w:rStyle w:val="Hyperlink"/>
                  <w:b w:val="0"/>
                  <w:bCs w:val="0"/>
                  <w:szCs w:val="18"/>
                </w:rPr>
                <w:t>s</w:t>
              </w:r>
            </w:hyperlink>
            <w:r w:rsidRPr="001151CE">
              <w:rPr>
                <w:szCs w:val="18"/>
              </w:rPr>
              <w:t xml:space="preserve"> (e.g.,  benzodiazepines, carisoprodol)</w:t>
            </w:r>
          </w:p>
        </w:tc>
        <w:tc>
          <w:tcPr>
            <w:tcW w:w="3656" w:type="dxa"/>
          </w:tcPr>
          <w:p w14:paraId="12A16DDC" w14:textId="77777777" w:rsidR="001D1C16" w:rsidRDefault="00113CB8" w:rsidP="007B280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Cs w:val="18"/>
              </w:rPr>
            </w:pPr>
            <w:hyperlink r:id="rId23" w:history="1">
              <w:r w:rsidR="001D1C16" w:rsidRPr="001151CE">
                <w:rPr>
                  <w:rStyle w:val="Hyperlink"/>
                  <w:szCs w:val="18"/>
                </w:rPr>
                <w:t>UDT</w:t>
              </w:r>
            </w:hyperlink>
          </w:p>
          <w:p w14:paraId="44F5ED38" w14:textId="560387B5" w:rsidR="0073548F" w:rsidRPr="0073548F" w:rsidRDefault="0073548F" w:rsidP="007B280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u w:val="dotted"/>
              </w:rPr>
            </w:pPr>
            <w:r w:rsidRPr="0073548F">
              <w:rPr>
                <w:color w:val="404040" w:themeColor="text1" w:themeTint="BF"/>
                <w:sz w:val="20"/>
                <w:szCs w:val="20"/>
              </w:rPr>
              <w:t>(</w:t>
            </w:r>
            <w:bookmarkStart w:id="0" w:name="_GoBack"/>
            <w:r w:rsidRPr="00113CB8">
              <w:rPr>
                <w:color w:val="404040" w:themeColor="text1" w:themeTint="BF"/>
                <w:sz w:val="20"/>
                <w:szCs w:val="20"/>
                <w:u w:val="dotted"/>
              </w:rPr>
              <w:fldChar w:fldCharType="begin"/>
            </w:r>
            <w:r w:rsidRPr="00113CB8">
              <w:rPr>
                <w:color w:val="404040" w:themeColor="text1" w:themeTint="BF"/>
                <w:sz w:val="20"/>
                <w:szCs w:val="20"/>
                <w:u w:val="dotted"/>
              </w:rPr>
              <w:instrText xml:space="preserve"> HYPERLINK "https://depts.washington.edu/fammed/improvingopioidcare/wp-content/uploads/sites/12/2018/02/Interpreting-UDT-results-information-sheet.pdf" </w:instrText>
            </w:r>
            <w:r w:rsidRPr="00113CB8">
              <w:rPr>
                <w:color w:val="404040" w:themeColor="text1" w:themeTint="BF"/>
                <w:sz w:val="20"/>
                <w:szCs w:val="20"/>
                <w:u w:val="dotted"/>
              </w:rPr>
              <w:fldChar w:fldCharType="separate"/>
            </w:r>
            <w:r w:rsidRPr="00113CB8">
              <w:rPr>
                <w:rStyle w:val="Emphasis"/>
                <w:color w:val="404040" w:themeColor="text1" w:themeTint="BF"/>
                <w:sz w:val="20"/>
                <w:szCs w:val="20"/>
                <w:u w:val="dotted"/>
              </w:rPr>
              <w:t>Interpreting results</w:t>
            </w:r>
            <w:r w:rsidRPr="00113CB8">
              <w:rPr>
                <w:color w:val="404040" w:themeColor="text1" w:themeTint="BF"/>
                <w:sz w:val="20"/>
                <w:szCs w:val="20"/>
                <w:u w:val="dotted"/>
              </w:rPr>
              <w:fldChar w:fldCharType="end"/>
            </w:r>
            <w:bookmarkEnd w:id="0"/>
            <w:r w:rsidRPr="0073548F">
              <w:rPr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4084" w:type="dxa"/>
          </w:tcPr>
          <w:p w14:paraId="299A4427" w14:textId="77777777" w:rsidR="001D1C16" w:rsidRPr="001151CE" w:rsidRDefault="001D1C16" w:rsidP="007B280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1151CE">
              <w:rPr>
                <w:szCs w:val="18"/>
              </w:rPr>
              <w:t xml:space="preserve">First subacute or chronic pain visit and then visits </w:t>
            </w:r>
            <w:hyperlink w:anchor="_Appendix:_Risk_Stratification" w:history="1">
              <w:r w:rsidRPr="001151CE">
                <w:rPr>
                  <w:rStyle w:val="Hyperlink"/>
                  <w:szCs w:val="18"/>
                </w:rPr>
                <w:t>according to risk level</w:t>
              </w:r>
            </w:hyperlink>
          </w:p>
        </w:tc>
      </w:tr>
      <w:tr w:rsidR="001D1C16" w:rsidRPr="001151CE" w14:paraId="14C68D06" w14:textId="77777777" w:rsidTr="007B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F94A38B" w14:textId="77777777" w:rsidR="001D1C16" w:rsidRPr="001151CE" w:rsidRDefault="001D1C16" w:rsidP="007B2800">
            <w:pPr>
              <w:pStyle w:val="TableParagraph"/>
              <w:rPr>
                <w:szCs w:val="18"/>
              </w:rPr>
            </w:pPr>
            <w:r w:rsidRPr="001151CE">
              <w:rPr>
                <w:szCs w:val="18"/>
              </w:rPr>
              <w:t xml:space="preserve">Current medications filled, including </w:t>
            </w:r>
            <w:hyperlink r:id="rId24" w:history="1">
              <w:r>
                <w:rPr>
                  <w:rStyle w:val="Hyperlink"/>
                  <w:b w:val="0"/>
                  <w:bCs w:val="0"/>
                  <w:szCs w:val="18"/>
                </w:rPr>
                <w:t>sedative</w:t>
              </w:r>
              <w:r w:rsidRPr="001151CE">
                <w:rPr>
                  <w:rStyle w:val="Hyperlink"/>
                  <w:b w:val="0"/>
                  <w:bCs w:val="0"/>
                  <w:szCs w:val="18"/>
                </w:rPr>
                <w:t>s</w:t>
              </w:r>
            </w:hyperlink>
            <w:r w:rsidRPr="001151CE">
              <w:rPr>
                <w:szCs w:val="18"/>
              </w:rPr>
              <w:t xml:space="preserve"> (e.g.,  benzodiazepines, carisoprodol)</w:t>
            </w:r>
          </w:p>
        </w:tc>
        <w:tc>
          <w:tcPr>
            <w:tcW w:w="3656" w:type="dxa"/>
          </w:tcPr>
          <w:p w14:paraId="04531405" w14:textId="77777777" w:rsidR="001D1C16" w:rsidRPr="001151CE" w:rsidRDefault="00113CB8" w:rsidP="007B2800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hyperlink w:anchor="_Medications_taken/dose" w:history="1">
              <w:r w:rsidR="001D1C16" w:rsidRPr="001151CE">
                <w:rPr>
                  <w:rStyle w:val="Hyperlink"/>
                  <w:szCs w:val="18"/>
                </w:rPr>
                <w:t>PDMP</w:t>
              </w:r>
            </w:hyperlink>
          </w:p>
        </w:tc>
        <w:tc>
          <w:tcPr>
            <w:tcW w:w="4084" w:type="dxa"/>
          </w:tcPr>
          <w:p w14:paraId="0233B57F" w14:textId="77777777" w:rsidR="001D1C16" w:rsidRPr="001151CE" w:rsidRDefault="001D1C16" w:rsidP="007B2800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1151CE">
              <w:rPr>
                <w:szCs w:val="18"/>
              </w:rPr>
              <w:t xml:space="preserve">First opioid prescription, at each transition to a new pain category (acute, subacute, chronic), and then at visits </w:t>
            </w:r>
            <w:hyperlink w:anchor="_Appendix:_Risk_Stratification" w:history="1">
              <w:r w:rsidRPr="001151CE">
                <w:rPr>
                  <w:rStyle w:val="Hyperlink"/>
                  <w:szCs w:val="18"/>
                </w:rPr>
                <w:t>according to risk level</w:t>
              </w:r>
            </w:hyperlink>
          </w:p>
        </w:tc>
      </w:tr>
      <w:tr w:rsidR="001D1C16" w:rsidRPr="001151CE" w14:paraId="76AC701D" w14:textId="77777777" w:rsidTr="007B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01CE864" w14:textId="77777777" w:rsidR="001D1C16" w:rsidRPr="001151CE" w:rsidRDefault="001D1C16" w:rsidP="007B2800">
            <w:pPr>
              <w:pStyle w:val="TableParagraph"/>
              <w:rPr>
                <w:szCs w:val="18"/>
              </w:rPr>
            </w:pPr>
            <w:r w:rsidRPr="001151CE">
              <w:rPr>
                <w:szCs w:val="18"/>
              </w:rPr>
              <w:t>Informed consent</w:t>
            </w:r>
          </w:p>
        </w:tc>
        <w:tc>
          <w:tcPr>
            <w:tcW w:w="3656" w:type="dxa"/>
          </w:tcPr>
          <w:p w14:paraId="100BFA34" w14:textId="77777777" w:rsidR="001D1C16" w:rsidRPr="001151CE" w:rsidRDefault="001D1C16" w:rsidP="007B280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18"/>
                <w:u w:val="dotted"/>
              </w:rPr>
            </w:pPr>
            <w:r w:rsidRPr="001151CE">
              <w:rPr>
                <w:szCs w:val="18"/>
              </w:rPr>
              <w:t xml:space="preserve">Review the </w:t>
            </w:r>
            <w:hyperlink r:id="rId25" w:history="1">
              <w:r w:rsidRPr="001151CE">
                <w:rPr>
                  <w:rStyle w:val="Hyperlink"/>
                  <w:szCs w:val="18"/>
                </w:rPr>
                <w:t xml:space="preserve">patient agreement </w:t>
              </w:r>
            </w:hyperlink>
            <w:r w:rsidRPr="001151CE">
              <w:rPr>
                <w:szCs w:val="18"/>
              </w:rPr>
              <w:t xml:space="preserve"> and have the patient sign it</w:t>
            </w:r>
          </w:p>
        </w:tc>
        <w:tc>
          <w:tcPr>
            <w:tcW w:w="4084" w:type="dxa"/>
          </w:tcPr>
          <w:p w14:paraId="368A675F" w14:textId="77777777" w:rsidR="001D1C16" w:rsidRPr="001151CE" w:rsidRDefault="001D1C16" w:rsidP="007B280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1151CE">
              <w:rPr>
                <w:szCs w:val="18"/>
              </w:rPr>
              <w:t>Start of long-term opioid therapy; annually</w:t>
            </w:r>
          </w:p>
        </w:tc>
      </w:tr>
      <w:tr w:rsidR="001D1C16" w:rsidRPr="001151CE" w14:paraId="3EF3A04E" w14:textId="77777777" w:rsidTr="007B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056091D" w14:textId="77777777" w:rsidR="001D1C16" w:rsidRPr="001151CE" w:rsidRDefault="001D1C16" w:rsidP="007B2800">
            <w:pPr>
              <w:pStyle w:val="TableParagraph"/>
              <w:rPr>
                <w:szCs w:val="18"/>
              </w:rPr>
            </w:pPr>
            <w:r w:rsidRPr="001151CE">
              <w:rPr>
                <w:szCs w:val="18"/>
              </w:rPr>
              <w:t>Morphine equivalent dosing</w:t>
            </w:r>
          </w:p>
        </w:tc>
        <w:tc>
          <w:tcPr>
            <w:tcW w:w="3656" w:type="dxa"/>
          </w:tcPr>
          <w:p w14:paraId="0FA86BB0" w14:textId="77777777" w:rsidR="001D1C16" w:rsidRPr="001151CE" w:rsidRDefault="001D1C16" w:rsidP="007B2800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1151CE">
              <w:rPr>
                <w:szCs w:val="18"/>
              </w:rPr>
              <w:t xml:space="preserve">MED </w:t>
            </w:r>
            <w:hyperlink r:id="rId26" w:history="1">
              <w:r w:rsidRPr="001151CE">
                <w:rPr>
                  <w:rStyle w:val="Hyperlink"/>
                  <w:szCs w:val="18"/>
                </w:rPr>
                <w:t>calculator</w:t>
              </w:r>
            </w:hyperlink>
          </w:p>
        </w:tc>
        <w:tc>
          <w:tcPr>
            <w:tcW w:w="4084" w:type="dxa"/>
          </w:tcPr>
          <w:p w14:paraId="4B3803B9" w14:textId="77777777" w:rsidR="001D1C16" w:rsidRPr="001151CE" w:rsidRDefault="001D1C16" w:rsidP="007B2800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1151CE">
              <w:rPr>
                <w:szCs w:val="18"/>
              </w:rPr>
              <w:t>First opioid prescription and every change in opioid prescription</w:t>
            </w:r>
          </w:p>
        </w:tc>
      </w:tr>
      <w:tr w:rsidR="001D1C16" w:rsidRPr="001151CE" w14:paraId="187F9887" w14:textId="77777777" w:rsidTr="007B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359B0D8" w14:textId="77777777" w:rsidR="001D1C16" w:rsidRPr="001151CE" w:rsidRDefault="001D1C16" w:rsidP="007B2800">
            <w:pPr>
              <w:pStyle w:val="TableParagraph"/>
              <w:rPr>
                <w:szCs w:val="18"/>
              </w:rPr>
            </w:pPr>
            <w:r w:rsidRPr="001151CE">
              <w:rPr>
                <w:szCs w:val="18"/>
              </w:rPr>
              <w:t>Anxiety, depression</w:t>
            </w:r>
          </w:p>
        </w:tc>
        <w:tc>
          <w:tcPr>
            <w:tcW w:w="3656" w:type="dxa"/>
          </w:tcPr>
          <w:p w14:paraId="42E22682" w14:textId="77777777" w:rsidR="001D1C16" w:rsidRPr="001151CE" w:rsidRDefault="00113CB8" w:rsidP="007B280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hyperlink r:id="rId27" w:history="1">
              <w:r w:rsidR="001D1C16" w:rsidRPr="001151CE">
                <w:rPr>
                  <w:rStyle w:val="Hyperlink"/>
                  <w:szCs w:val="18"/>
                </w:rPr>
                <w:t>PHQ</w:t>
              </w:r>
            </w:hyperlink>
            <w:r w:rsidR="001D1C16" w:rsidRPr="001151CE">
              <w:rPr>
                <w:szCs w:val="18"/>
              </w:rPr>
              <w:t xml:space="preserve">, </w:t>
            </w:r>
            <w:hyperlink r:id="rId28" w:history="1">
              <w:r w:rsidR="001D1C16" w:rsidRPr="001151CE">
                <w:rPr>
                  <w:rStyle w:val="Hyperlink"/>
                  <w:szCs w:val="18"/>
                </w:rPr>
                <w:t>GAD-7</w:t>
              </w:r>
            </w:hyperlink>
          </w:p>
        </w:tc>
        <w:tc>
          <w:tcPr>
            <w:tcW w:w="4084" w:type="dxa"/>
          </w:tcPr>
          <w:p w14:paraId="78EC3379" w14:textId="77777777" w:rsidR="001D1C16" w:rsidRPr="001151CE" w:rsidRDefault="00113CB8" w:rsidP="007B280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hyperlink w:anchor="_Appendix:_Risk_Stratification" w:history="1">
              <w:r w:rsidR="001D1C16" w:rsidRPr="001151CE">
                <w:rPr>
                  <w:rStyle w:val="Hyperlink"/>
                  <w:szCs w:val="18"/>
                </w:rPr>
                <w:t>According to risk level</w:t>
              </w:r>
            </w:hyperlink>
          </w:p>
        </w:tc>
      </w:tr>
      <w:tr w:rsidR="001D1C16" w:rsidRPr="001151CE" w14:paraId="530E7475" w14:textId="77777777" w:rsidTr="007B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20B3859" w14:textId="77777777" w:rsidR="001D1C16" w:rsidRPr="001151CE" w:rsidRDefault="001D1C16" w:rsidP="007B2800">
            <w:pPr>
              <w:pStyle w:val="TableParagraph"/>
              <w:rPr>
                <w:szCs w:val="18"/>
              </w:rPr>
            </w:pPr>
            <w:r w:rsidRPr="001151CE">
              <w:rPr>
                <w:szCs w:val="18"/>
              </w:rPr>
              <w:t>PTSD</w:t>
            </w:r>
          </w:p>
        </w:tc>
        <w:tc>
          <w:tcPr>
            <w:tcW w:w="3656" w:type="dxa"/>
          </w:tcPr>
          <w:p w14:paraId="337DAF36" w14:textId="77777777" w:rsidR="001D1C16" w:rsidRPr="001151CE" w:rsidRDefault="00113CB8" w:rsidP="007B2800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hyperlink r:id="rId29" w:history="1">
              <w:r w:rsidR="001D1C16" w:rsidRPr="001151CE">
                <w:rPr>
                  <w:rStyle w:val="Hyperlink"/>
                  <w:szCs w:val="18"/>
                </w:rPr>
                <w:t>PC-PTSD</w:t>
              </w:r>
            </w:hyperlink>
          </w:p>
        </w:tc>
        <w:tc>
          <w:tcPr>
            <w:tcW w:w="4084" w:type="dxa"/>
          </w:tcPr>
          <w:p w14:paraId="77B76E46" w14:textId="77777777" w:rsidR="001D1C16" w:rsidRPr="001151CE" w:rsidRDefault="001D1C16" w:rsidP="007B2800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1151CE">
              <w:rPr>
                <w:szCs w:val="18"/>
              </w:rPr>
              <w:t>If elevated PHQ or GAD despite active treatment</w:t>
            </w:r>
          </w:p>
        </w:tc>
      </w:tr>
      <w:tr w:rsidR="001D1C16" w:rsidRPr="001151CE" w14:paraId="046E852A" w14:textId="77777777" w:rsidTr="007B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C967E40" w14:textId="77777777" w:rsidR="001D1C16" w:rsidRPr="001151CE" w:rsidRDefault="001D1C16" w:rsidP="007B2800">
            <w:pPr>
              <w:pStyle w:val="TableParagraph"/>
              <w:rPr>
                <w:szCs w:val="18"/>
              </w:rPr>
            </w:pPr>
            <w:r w:rsidRPr="001151CE">
              <w:rPr>
                <w:szCs w:val="18"/>
              </w:rPr>
              <w:t>Sleep apnea</w:t>
            </w:r>
          </w:p>
        </w:tc>
        <w:tc>
          <w:tcPr>
            <w:tcW w:w="3656" w:type="dxa"/>
          </w:tcPr>
          <w:p w14:paraId="64763D9B" w14:textId="77777777" w:rsidR="001D1C16" w:rsidRPr="001151CE" w:rsidRDefault="00113CB8" w:rsidP="007B280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hyperlink r:id="rId30" w:history="1">
              <w:r w:rsidR="001D1C16" w:rsidRPr="001151CE">
                <w:rPr>
                  <w:rStyle w:val="Hyperlink"/>
                  <w:szCs w:val="18"/>
                </w:rPr>
                <w:t>STOPBang</w:t>
              </w:r>
            </w:hyperlink>
          </w:p>
        </w:tc>
        <w:tc>
          <w:tcPr>
            <w:tcW w:w="4084" w:type="dxa"/>
          </w:tcPr>
          <w:p w14:paraId="272653ED" w14:textId="77777777" w:rsidR="001D1C16" w:rsidRPr="001151CE" w:rsidRDefault="001D1C16" w:rsidP="007B280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1CE">
              <w:t>When co-occurring risks</w:t>
            </w:r>
            <w:r>
              <w:t xml:space="preserve">: </w:t>
            </w:r>
            <w:r w:rsidRPr="001151CE">
              <w:t>MED ≥ 50</w:t>
            </w:r>
            <w:r>
              <w:t xml:space="preserve">, </w:t>
            </w:r>
            <w:r w:rsidRPr="001151CE">
              <w:t xml:space="preserve">Concurrent use of benzodiazepines </w:t>
            </w:r>
            <w:r>
              <w:t xml:space="preserve">, </w:t>
            </w:r>
            <w:r w:rsidRPr="001151CE">
              <w:t>COPD</w:t>
            </w:r>
            <w:r>
              <w:t>, r</w:t>
            </w:r>
            <w:r w:rsidRPr="001151CE">
              <w:t>estrictive lung disease, including kyphosis or thoracic scoliosis</w:t>
            </w:r>
            <w:r>
              <w:t xml:space="preserve">, </w:t>
            </w:r>
            <w:r w:rsidRPr="001151CE">
              <w:t>BMI &gt; 28</w:t>
            </w:r>
            <w:r>
              <w:t>, s</w:t>
            </w:r>
            <w:r w:rsidRPr="001151CE">
              <w:t>noring</w:t>
            </w:r>
            <w:r>
              <w:t>, f</w:t>
            </w:r>
            <w:r w:rsidRPr="001151CE">
              <w:t>atigue</w:t>
            </w:r>
            <w:r>
              <w:t>, w</w:t>
            </w:r>
            <w:r w:rsidRPr="001151CE">
              <w:t>itnessed irregular breathing</w:t>
            </w:r>
          </w:p>
        </w:tc>
      </w:tr>
      <w:tr w:rsidR="001D1C16" w:rsidRPr="001151CE" w14:paraId="5FEDECBE" w14:textId="77777777" w:rsidTr="007B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EF75C79" w14:textId="77777777" w:rsidR="001D1C16" w:rsidRPr="001151CE" w:rsidRDefault="001D1C16" w:rsidP="007B2800">
            <w:pPr>
              <w:pStyle w:val="TableParagraph"/>
              <w:rPr>
                <w:szCs w:val="18"/>
              </w:rPr>
            </w:pPr>
            <w:r w:rsidRPr="001151CE">
              <w:rPr>
                <w:szCs w:val="18"/>
              </w:rPr>
              <w:t>Fibromyalgia</w:t>
            </w:r>
          </w:p>
        </w:tc>
        <w:tc>
          <w:tcPr>
            <w:tcW w:w="3656" w:type="dxa"/>
          </w:tcPr>
          <w:p w14:paraId="4CA1F41D" w14:textId="77777777" w:rsidR="0073548F" w:rsidRPr="0073548F" w:rsidRDefault="0073548F" w:rsidP="0073548F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  <w:hyperlink r:id="rId31" w:history="1">
              <w:r w:rsidRPr="0073548F">
                <w:rPr>
                  <w:rStyle w:val="Hyperlink"/>
                  <w:rFonts w:ascii="Corbel" w:hAnsi="Corbel"/>
                  <w:sz w:val="20"/>
                  <w:szCs w:val="20"/>
                </w:rPr>
                <w:t>Patient self-report tool</w:t>
              </w:r>
            </w:hyperlink>
          </w:p>
          <w:p w14:paraId="12A35AFD" w14:textId="0865A216" w:rsidR="001D1C16" w:rsidRPr="001151CE" w:rsidRDefault="001D1C16" w:rsidP="007B2800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4084" w:type="dxa"/>
          </w:tcPr>
          <w:p w14:paraId="1FE644E6" w14:textId="77777777" w:rsidR="001D1C16" w:rsidRPr="001151CE" w:rsidRDefault="001D1C16" w:rsidP="007B2800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1151CE">
              <w:rPr>
                <w:szCs w:val="18"/>
              </w:rPr>
              <w:t>As appropriate if pain is widespread and co-occurring symptoms such as fatigue, poor sleep, depression, abdominal and/or urogenital pain during diagnosis</w:t>
            </w:r>
          </w:p>
        </w:tc>
      </w:tr>
    </w:tbl>
    <w:p w14:paraId="45A00FE9" w14:textId="77777777" w:rsidR="00E33FAA" w:rsidRDefault="00E33FAA"/>
    <w:sectPr w:rsidR="00E33FAA" w:rsidSect="001D1C16">
      <w:footerReference w:type="default" r:id="rId3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2EE4E" w14:textId="77777777" w:rsidR="004776F5" w:rsidRDefault="004776F5" w:rsidP="004776F5">
      <w:pPr>
        <w:spacing w:after="0" w:line="240" w:lineRule="auto"/>
      </w:pPr>
      <w:r>
        <w:separator/>
      </w:r>
    </w:p>
  </w:endnote>
  <w:endnote w:type="continuationSeparator" w:id="0">
    <w:p w14:paraId="1DBA7A4A" w14:textId="77777777" w:rsidR="004776F5" w:rsidRDefault="004776F5" w:rsidP="0047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YPost-Light">
    <w:altName w:val="Batang"/>
    <w:charset w:val="81"/>
    <w:family w:val="roman"/>
    <w:pitch w:val="default"/>
    <w:sig w:usb0="E0002AFF" w:usb1="C0007843" w:usb2="00000009" w:usb3="00000000" w:csb0="000001FF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401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61718" w14:textId="77777777" w:rsidR="004776F5" w:rsidRDefault="004776F5" w:rsidP="004776F5">
        <w:pPr>
          <w:pStyle w:val="Footer"/>
          <w:pBdr>
            <w:top w:val="dotted" w:sz="12" w:space="1" w:color="BFBFBF" w:themeColor="text1" w:themeTint="40"/>
          </w:pBdr>
          <w:ind w:left="1440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 w:rsidRPr="0045554A">
          <w:rPr>
            <w:noProof/>
          </w:rPr>
          <w:drawing>
            <wp:anchor distT="0" distB="0" distL="114300" distR="114300" simplePos="0" relativeHeight="251660288" behindDoc="0" locked="0" layoutInCell="1" allowOverlap="1" wp14:anchorId="4AE6F5A9" wp14:editId="196B2997">
              <wp:simplePos x="0" y="0"/>
              <wp:positionH relativeFrom="margin">
                <wp:posOffset>5233035</wp:posOffset>
              </wp:positionH>
              <wp:positionV relativeFrom="page">
                <wp:posOffset>9176385</wp:posOffset>
              </wp:positionV>
              <wp:extent cx="710565" cy="250190"/>
              <wp:effectExtent l="0" t="0" r="0" b="0"/>
              <wp:wrapThrough wrapText="bothSides">
                <wp:wrapPolygon edited="0">
                  <wp:start x="0" y="0"/>
                  <wp:lineTo x="0" y="19736"/>
                  <wp:lineTo x="20847" y="19736"/>
                  <wp:lineTo x="20847" y="0"/>
                  <wp:lineTo x="0" y="0"/>
                </wp:wrapPolygon>
              </wp:wrapThrough>
              <wp:docPr id="7" name="Picture 7" descr="Creative Commons License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reative Commons License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56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0" allowOverlap="1" wp14:anchorId="3F274D7D" wp14:editId="61D480C3">
              <wp:simplePos x="0" y="0"/>
              <wp:positionH relativeFrom="margin">
                <wp:posOffset>-460292</wp:posOffset>
              </wp:positionH>
              <wp:positionV relativeFrom="bottomMargin">
                <wp:posOffset>31032</wp:posOffset>
              </wp:positionV>
              <wp:extent cx="1300870" cy="799106"/>
              <wp:effectExtent l="0" t="0" r="0" b="1270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title.png"/>
                      <pic:cNvPicPr/>
                    </pic:nvPicPr>
                    <pic:blipFill rotWithShape="1"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230" t="58682" r="9411" b="2222"/>
                      <a:stretch/>
                    </pic:blipFill>
                    <pic:spPr bwMode="auto">
                      <a:xfrm>
                        <a:off x="0" y="0"/>
                        <a:ext cx="1300870" cy="79910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830A971" w14:textId="38D17433" w:rsidR="004776F5" w:rsidRPr="007E5239" w:rsidRDefault="004776F5" w:rsidP="004776F5">
        <w:pPr>
          <w:spacing w:after="0" w:line="240" w:lineRule="auto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SIX BUILDING BLOCKS: OPIOID MGT ASSESSMENT </w:t>
        </w:r>
        <w:proofErr w:type="gramStart"/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SCHEDULE  |</w:t>
        </w:r>
        <w:proofErr w:type="gramEnd"/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  VERSION  2019.0</w:t>
        </w:r>
        <w:r w:rsidR="0073548F">
          <w:rPr>
            <w:rFonts w:cs="Times New Roman (Body CS)"/>
            <w:color w:val="000000" w:themeColor="text1"/>
            <w:sz w:val="16"/>
            <w:szCs w:val="16"/>
            <w14:numForm w14:val="lining"/>
          </w:rPr>
          <w:t>6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.</w:t>
        </w:r>
        <w:r w:rsidR="0073548F">
          <w:rPr>
            <w:rFonts w:cs="Times New Roman (Body CS)"/>
            <w:color w:val="000000" w:themeColor="text1"/>
            <w:sz w:val="16"/>
            <w:szCs w:val="16"/>
            <w14:numForm w14:val="lining"/>
          </w:rPr>
          <w:t>10</w:t>
        </w:r>
      </w:p>
      <w:p w14:paraId="0DE136F6" w14:textId="77777777" w:rsidR="004776F5" w:rsidRDefault="004776F5" w:rsidP="004776F5">
        <w:pPr>
          <w:spacing w:after="0" w:line="240" w:lineRule="auto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LICENSED UNDER A </w:t>
        </w:r>
        <w:hyperlink r:id="rId4" w:history="1">
          <w:r w:rsidRPr="001F38F7">
            <w:rPr>
              <w:rStyle w:val="Hyperlink"/>
              <w:rFonts w:cs="Times New Roman (Body CS)"/>
              <w:sz w:val="16"/>
              <w:szCs w:val="16"/>
              <w14:numForm w14:val="lining"/>
            </w:rPr>
            <w:t>CREATIVE COMMONS BY-NC-ND 4.0 INTERNATIONAL LICENSE</w:t>
          </w:r>
        </w:hyperlink>
      </w:p>
      <w:p w14:paraId="0DE076CE" w14:textId="7DF29939" w:rsidR="004776F5" w:rsidRDefault="004776F5" w:rsidP="004776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C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3C441" w14:textId="77777777" w:rsidR="004776F5" w:rsidRDefault="004776F5" w:rsidP="004776F5">
      <w:pPr>
        <w:spacing w:after="0" w:line="240" w:lineRule="auto"/>
      </w:pPr>
      <w:r>
        <w:separator/>
      </w:r>
    </w:p>
  </w:footnote>
  <w:footnote w:type="continuationSeparator" w:id="0">
    <w:p w14:paraId="7AA60C9F" w14:textId="77777777" w:rsidR="004776F5" w:rsidRDefault="004776F5" w:rsidP="00477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21E23"/>
    <w:multiLevelType w:val="hybridMultilevel"/>
    <w:tmpl w:val="FCFACC8E"/>
    <w:lvl w:ilvl="0" w:tplc="EF30C51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16"/>
    <w:rsid w:val="00113CB8"/>
    <w:rsid w:val="001D1C16"/>
    <w:rsid w:val="002C6032"/>
    <w:rsid w:val="004776F5"/>
    <w:rsid w:val="0073548F"/>
    <w:rsid w:val="007D2559"/>
    <w:rsid w:val="00967C1D"/>
    <w:rsid w:val="00C62586"/>
    <w:rsid w:val="00E3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C3FC"/>
  <w15:chartTrackingRefBased/>
  <w15:docId w15:val="{9314A93F-9593-4C51-B9C6-72772BF4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16"/>
  </w:style>
  <w:style w:type="paragraph" w:styleId="Heading1">
    <w:name w:val="heading 1"/>
    <w:next w:val="BodyText"/>
    <w:link w:val="Heading1Char"/>
    <w:uiPriority w:val="9"/>
    <w:qFormat/>
    <w:rsid w:val="007D2559"/>
    <w:pPr>
      <w:keepNext/>
      <w:keepLines/>
      <w:spacing w:before="120" w:after="120" w:line="240" w:lineRule="auto"/>
      <w:outlineLvl w:val="0"/>
    </w:pPr>
    <w:rPr>
      <w:rFonts w:ascii="Corbel" w:eastAsiaTheme="majorEastAsia" w:hAnsi="Corbel" w:cstheme="majorBidi"/>
      <w:sz w:val="52"/>
      <w:szCs w:val="32"/>
    </w:rPr>
  </w:style>
  <w:style w:type="paragraph" w:styleId="Heading2">
    <w:name w:val="heading 2"/>
    <w:next w:val="BodyText"/>
    <w:link w:val="Heading2Char"/>
    <w:uiPriority w:val="9"/>
    <w:unhideWhenUsed/>
    <w:qFormat/>
    <w:rsid w:val="007D2559"/>
    <w:pPr>
      <w:keepNext/>
      <w:keepLines/>
      <w:spacing w:before="360" w:after="120" w:line="240" w:lineRule="auto"/>
      <w:outlineLvl w:val="1"/>
    </w:pPr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paragraph" w:styleId="Heading3">
    <w:name w:val="heading 3"/>
    <w:next w:val="BodyText"/>
    <w:link w:val="Heading3Char"/>
    <w:uiPriority w:val="9"/>
    <w:unhideWhenUsed/>
    <w:qFormat/>
    <w:rsid w:val="001D1C16"/>
    <w:pPr>
      <w:keepNext/>
      <w:keepLines/>
      <w:spacing w:after="60"/>
      <w:outlineLvl w:val="2"/>
    </w:pPr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559"/>
    <w:rPr>
      <w:rFonts w:ascii="Corbel" w:eastAsiaTheme="majorEastAsia" w:hAnsi="Corbel" w:cstheme="majorBidi"/>
      <w:sz w:val="5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D25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2559"/>
  </w:style>
  <w:style w:type="character" w:customStyle="1" w:styleId="Heading2Char">
    <w:name w:val="Heading 2 Char"/>
    <w:basedOn w:val="DefaultParagraphFont"/>
    <w:link w:val="Heading2"/>
    <w:uiPriority w:val="9"/>
    <w:rsid w:val="007D2559"/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paragraph" w:customStyle="1" w:styleId="Quote">
    <w:name w:val="&quot;Quote&quot;"/>
    <w:qFormat/>
    <w:rsid w:val="007D2559"/>
    <w:pPr>
      <w:pBdr>
        <w:left w:val="single" w:sz="48" w:space="13" w:color="F2BC41"/>
      </w:pBdr>
      <w:spacing w:before="240" w:after="0" w:line="240" w:lineRule="atLeast"/>
      <w:ind w:right="540" w:hanging="86"/>
    </w:pPr>
    <w:rPr>
      <w:rFonts w:ascii="Corbel" w:eastAsia="HYPost-Light" w:hAnsi="Corbel" w:cs="Times New Roman"/>
      <w:i/>
      <w:iCs/>
      <w:color w:val="5D8A93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D1C16"/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1D1C16"/>
    <w:rPr>
      <w:color w:val="404040" w:themeColor="text1" w:themeTint="BF"/>
      <w:u w:val="dotted"/>
    </w:rPr>
  </w:style>
  <w:style w:type="table" w:customStyle="1" w:styleId="GridTable4-Accent11">
    <w:name w:val="Grid Table 4 - Accent 11"/>
    <w:basedOn w:val="TableNormal"/>
    <w:uiPriority w:val="49"/>
    <w:rsid w:val="001D1C1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Bullet">
    <w:name w:val="Bullet"/>
    <w:basedOn w:val="BodyText"/>
    <w:qFormat/>
    <w:rsid w:val="001D1C16"/>
    <w:pPr>
      <w:numPr>
        <w:numId w:val="1"/>
      </w:numPr>
      <w:spacing w:line="260" w:lineRule="atLeast"/>
      <w:ind w:left="245" w:hanging="245"/>
    </w:pPr>
    <w:rPr>
      <w:rFonts w:ascii="Corbel" w:eastAsia="Calibri" w:hAnsi="Corbel" w:cs="Calibri"/>
      <w:color w:val="000000" w:themeColor="text1"/>
      <w:sz w:val="20"/>
      <w:szCs w:val="20"/>
      <w14:numForm w14:val="lining"/>
    </w:rPr>
  </w:style>
  <w:style w:type="paragraph" w:customStyle="1" w:styleId="TableParagraph">
    <w:name w:val="Table Paragraph"/>
    <w:uiPriority w:val="99"/>
    <w:qFormat/>
    <w:rsid w:val="001D1C16"/>
    <w:pPr>
      <w:spacing w:before="60" w:after="120" w:line="240" w:lineRule="auto"/>
    </w:pPr>
    <w:rPr>
      <w:rFonts w:ascii="Corbel" w:eastAsia="Calibri" w:hAnsi="Corbel" w:cs="Calibri"/>
      <w:color w:val="000000" w:themeColor="text1"/>
      <w:sz w:val="18"/>
    </w:rPr>
  </w:style>
  <w:style w:type="paragraph" w:customStyle="1" w:styleId="Tableheader">
    <w:name w:val="Table header"/>
    <w:basedOn w:val="Normal"/>
    <w:uiPriority w:val="99"/>
    <w:rsid w:val="001D1C16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character" w:styleId="FollowedHyperlink">
    <w:name w:val="FollowedHyperlink"/>
    <w:basedOn w:val="DefaultParagraphFont"/>
    <w:uiPriority w:val="99"/>
    <w:semiHidden/>
    <w:unhideWhenUsed/>
    <w:rsid w:val="001D1C1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F5"/>
  </w:style>
  <w:style w:type="paragraph" w:styleId="Footer">
    <w:name w:val="footer"/>
    <w:basedOn w:val="Normal"/>
    <w:link w:val="FooterChar"/>
    <w:uiPriority w:val="99"/>
    <w:unhideWhenUsed/>
    <w:rsid w:val="0047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F5"/>
  </w:style>
  <w:style w:type="paragraph" w:styleId="NormalWeb">
    <w:name w:val="Normal (Web)"/>
    <w:basedOn w:val="Normal"/>
    <w:uiPriority w:val="99"/>
    <w:semiHidden/>
    <w:unhideWhenUsed/>
    <w:rsid w:val="0073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354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pts.washington.edu/fammed/sixbuildingblocks/wp-content/uploads/sites/12/2018/02/Current-Opioid-Misuse-Measure.pdf" TargetMode="External"/><Relationship Id="rId18" Type="http://schemas.openxmlformats.org/officeDocument/2006/relationships/hyperlink" Target="https://depts.washington.edu/fammed/sixbuildingblocks/wp-content/uploads/sites/12/2018/02/Current-Opioid-Misuse-Measure.pdf" TargetMode="External"/><Relationship Id="rId26" Type="http://schemas.openxmlformats.org/officeDocument/2006/relationships/hyperlink" Target="https://www.cdc.gov/drugoverdose/prescribing/app.html" TargetMode="External"/><Relationship Id="rId21" Type="http://schemas.openxmlformats.org/officeDocument/2006/relationships/hyperlink" Target="https://www.cdc.gov/drugoverdose/training/oud/accessible/index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epts.washington.edu/fammed/sixbuildingblocks/wp-content/uploads/sites/12/2018/02/Pain-Enjoyment-General-activity.pdf" TargetMode="External"/><Relationship Id="rId12" Type="http://schemas.openxmlformats.org/officeDocument/2006/relationships/hyperlink" Target="https://www.cdc.gov/drugoverdose/prescribing/app.html" TargetMode="External"/><Relationship Id="rId17" Type="http://schemas.openxmlformats.org/officeDocument/2006/relationships/hyperlink" Target="https://www.oregonpainguidance.org/app/content/uploads/2016/05/SOAPP-R.pdf" TargetMode="External"/><Relationship Id="rId25" Type="http://schemas.openxmlformats.org/officeDocument/2006/relationships/hyperlink" Target="https://depts.washington.edu/fammed/improvingopioidcare/wp-content/uploads/sites/12/2018/10/Model-patient-agreement_2018-10-02.doc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epts.washington.edu/fammed/sixbuildingblocks/wp-content/uploads/sites/12/2018/02/Opioid_Risk_Tool.pdf" TargetMode="External"/><Relationship Id="rId20" Type="http://schemas.openxmlformats.org/officeDocument/2006/relationships/hyperlink" Target="https://cde.drugabuse.gov/instrument/29b23e2e-e266-f095-e050-bb89ad43472f" TargetMode="External"/><Relationship Id="rId29" Type="http://schemas.openxmlformats.org/officeDocument/2006/relationships/hyperlink" Target="https://depts.washington.edu/fammed/sixbuildingblocks/wp-content/uploads/sites/12/2018/02/PC-PTSD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pts.washington.edu/fammed/sixbuildingblocks/wp-content/uploads/sites/12/2018/02/Pain-Enjoyment-General-activity.pdf" TargetMode="External"/><Relationship Id="rId24" Type="http://schemas.openxmlformats.org/officeDocument/2006/relationships/hyperlink" Target="https://depts.washington.edu/fammed/sixbuildingblocks/wp-content/uploads/sites/12/2018/02/List-of-sedatives-names.pdf" TargetMode="External"/><Relationship Id="rId32" Type="http://schemas.openxmlformats.org/officeDocument/2006/relationships/footer" Target="footer1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depts.washington.edu/fammed/sixbuildingblocks/wp-content/uploads/sites/12/2018/10/CDC-DUIP-UrineDrugTesting_FactSheet-508.pdf" TargetMode="External"/><Relationship Id="rId23" Type="http://schemas.openxmlformats.org/officeDocument/2006/relationships/hyperlink" Target="https://depts.washington.edu/fammed/sixbuildingblocks/wp-content/uploads/sites/12/2018/10/CDC-DUIP-UrineDrugTesting_FactSheet-508.pdf" TargetMode="External"/><Relationship Id="rId28" Type="http://schemas.openxmlformats.org/officeDocument/2006/relationships/hyperlink" Target="http://depts.washington.edu/fammed/improvingopioidcare/wp-content/uploads/sites/12/2018/02/GAD-7.pdf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https://depts.washington.edu/fammed/sixbuildingblocks/wp-content/uploads/sites/12/2018/10/nonopioid_treatments-a.pdf" TargetMode="External"/><Relationship Id="rId19" Type="http://schemas.openxmlformats.org/officeDocument/2006/relationships/hyperlink" Target="https://www.hca.wa.gov/assets/billers-and-providers/sbirt-screening-dast-en.docx" TargetMode="External"/><Relationship Id="rId31" Type="http://schemas.openxmlformats.org/officeDocument/2006/relationships/hyperlink" Target="https://depts.washington.edu/fammed/improvingopioidcare/wp-content/uploads/sites/12/2018/02/Fibromyalgia-tool-and-articl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ts.washington.edu/fammed/sixbuildingblocks/wp-content/uploads/sites/12/2018/08/Complementary-and-Alternative-Medicine-for-Chronic-Pain_2018-08-13_new.pdf" TargetMode="External"/><Relationship Id="rId14" Type="http://schemas.openxmlformats.org/officeDocument/2006/relationships/hyperlink" Target="http://www.stopbang.ca/osa/screening.php" TargetMode="External"/><Relationship Id="rId22" Type="http://schemas.openxmlformats.org/officeDocument/2006/relationships/hyperlink" Target="https://depts.washington.edu/fammed/sixbuildingblocks/wp-content/uploads/sites/12/2018/02/List-of-sedatives-names.pdf" TargetMode="External"/><Relationship Id="rId27" Type="http://schemas.openxmlformats.org/officeDocument/2006/relationships/hyperlink" Target="http://depts.washington.edu/fammed/improvingopioidcare/wp-content/uploads/sites/12/2018/02/Patient-Health-Questionnaire.pdf" TargetMode="External"/><Relationship Id="rId30" Type="http://schemas.openxmlformats.org/officeDocument/2006/relationships/hyperlink" Target="http://www.stopbang.ca/osa/screening.php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https://depts.washington.edu/fammed/sixbuildingblocks/wp-content/uploads/sites/12/2019/02/Care-Plan_2019-02-20.pdf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4.0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35D0DCCED9642A07F637904FAD330" ma:contentTypeVersion="12" ma:contentTypeDescription="Create a new document." ma:contentTypeScope="" ma:versionID="d8b3b510c147b1cfeeac297fef8a9106">
  <xsd:schema xmlns:xsd="http://www.w3.org/2001/XMLSchema" xmlns:xs="http://www.w3.org/2001/XMLSchema" xmlns:p="http://schemas.microsoft.com/office/2006/metadata/properties" xmlns:ns2="3abfeb9f-d26a-4ffc-b5ff-6bd830e08790" xmlns:ns3="f6cdebc2-aade-44db-8b39-5b6eeca79e46" targetNamespace="http://schemas.microsoft.com/office/2006/metadata/properties" ma:root="true" ma:fieldsID="2570ecf7846269b297924e09c5307a1e" ns2:_="" ns3:_="">
    <xsd:import namespace="3abfeb9f-d26a-4ffc-b5ff-6bd830e08790"/>
    <xsd:import namespace="f6cdebc2-aade-44db-8b39-5b6eeca79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feb9f-d26a-4ffc-b5ff-6bd830e08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debc2-aade-44db-8b39-5b6eeca79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B551A7-E001-40FC-BA20-E6388F45507F}"/>
</file>

<file path=customXml/itemProps2.xml><?xml version="1.0" encoding="utf-8"?>
<ds:datastoreItem xmlns:ds="http://schemas.openxmlformats.org/officeDocument/2006/customXml" ds:itemID="{65F2B915-058D-4671-9A55-663F7853BC69}"/>
</file>

<file path=customXml/itemProps3.xml><?xml version="1.0" encoding="utf-8"?>
<ds:datastoreItem xmlns:ds="http://schemas.openxmlformats.org/officeDocument/2006/customXml" ds:itemID="{18C86551-A7C5-48F8-8BA5-43C214933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Ike</dc:creator>
  <cp:keywords/>
  <dc:description/>
  <cp:lastModifiedBy>Brooke Ike</cp:lastModifiedBy>
  <cp:revision>7</cp:revision>
  <dcterms:created xsi:type="dcterms:W3CDTF">2019-05-24T00:13:00Z</dcterms:created>
  <dcterms:modified xsi:type="dcterms:W3CDTF">2019-06-10T20:59:00Z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0x010100F5035D0DCCED9642A07F637904FAD330</vt:lpwstr>
  </property>
</Properties>
</file>